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drawing>
          <wp:inline distB="19050" distT="19050" distL="19050" distR="19050">
            <wp:extent cx="3952875" cy="7143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5287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378.955078125" w:line="240" w:lineRule="auto"/>
        <w:jc w:val="center"/>
        <w:rPr>
          <w:b w:val="1"/>
          <w:bCs w:val="1"/>
        </w:rPr>
      </w:pPr>
      <w:r w:rsidDel="00000000" w:rsidR="00000000" w:rsidRPr="00000000">
        <w:rPr>
          <w:b w:val="1"/>
          <w:bCs w:val="1"/>
          <w:rtl w:val="0"/>
        </w:rPr>
        <w:t xml:space="preserve">TERMS OF REFERENCE </w:t>
      </w:r>
      <w:r w:rsidDel="00000000" w:rsidR="00000000" w:rsidRPr="00000000">
        <w:rPr>
          <w:rtl w:val="0"/>
        </w:rPr>
      </w:r>
    </w:p>
    <w:p w:rsidR="00000000" w:rsidDel="00000000" w:rsidP="00000000" w:rsidRDefault="00000000" w:rsidRPr="00000000" w14:paraId="00000003">
      <w:pPr>
        <w:keepNext w:val="0"/>
        <w:keepLines w:val="0"/>
        <w:spacing w:after="80" w:lineRule="auto"/>
        <w:jc w:val="center"/>
        <w:rPr/>
      </w:pPr>
      <w:r w:rsidDel="00000000" w:rsidR="00000000" w:rsidRPr="00000000">
        <w:rPr>
          <w:rtl w:val="0"/>
        </w:rPr>
        <w:t xml:space="preserve">A Call for Feminist Co-Conspirators in Movement Accompaniment and Collective Strengthening</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Introduction</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The African Women’s Development Fund (AWDF) is guided by our ten-year strategy, </w:t>
      </w:r>
      <w:hyperlink r:id="rId8">
        <w:r w:rsidDel="00000000" w:rsidR="00000000" w:rsidRPr="00000000">
          <w:rPr>
            <w:b w:val="1"/>
            <w:bCs w:val="1"/>
            <w:u w:val="single"/>
            <w:rtl w:val="0"/>
          </w:rPr>
          <w:t xml:space="preserve">LemLem</w:t>
        </w:r>
      </w:hyperlink>
      <w:r w:rsidDel="00000000" w:rsidR="00000000" w:rsidRPr="00000000">
        <w:rPr>
          <w:rtl w:val="0"/>
        </w:rPr>
        <w:t xml:space="preserve">, dedicated to resourcing and sustaining the African feminist movements who hold the strategy and history of our </w:t>
      </w:r>
      <w:r w:rsidDel="00000000" w:rsidR="00000000" w:rsidRPr="00000000">
        <w:rPr>
          <w:rtl w:val="0"/>
        </w:rPr>
        <w:t xml:space="preserve">shared struggle. In line with this commitment, </w:t>
      </w:r>
      <w:r w:rsidDel="00000000" w:rsidR="00000000" w:rsidRPr="00000000">
        <w:rPr>
          <w:rtl w:val="0"/>
        </w:rPr>
        <w:t xml:space="preserve">over the next three years, AWDF will advance a depth-over-breadth approach, focusing on the core of our constituencies and mission. Our goal in this period will be to A) </w:t>
      </w:r>
      <w:r w:rsidDel="00000000" w:rsidR="00000000" w:rsidRPr="00000000">
        <w:rPr>
          <w:b w:val="1"/>
          <w:bCs w:val="1"/>
          <w:rtl w:val="0"/>
        </w:rPr>
        <w:t xml:space="preserve">Defend</w:t>
      </w:r>
      <w:r w:rsidDel="00000000" w:rsidR="00000000" w:rsidRPr="00000000">
        <w:rPr>
          <w:rtl w:val="0"/>
        </w:rPr>
        <w:t xml:space="preserve"> African women, girls, and gender-diverse people’s rights, protecting our hard-won rights from backsliding and safeguarding the core elements of the African feminist movement’s infrastructure. B) </w:t>
      </w:r>
      <w:r w:rsidDel="00000000" w:rsidR="00000000" w:rsidRPr="00000000">
        <w:rPr>
          <w:b w:val="1"/>
          <w:bCs w:val="1"/>
          <w:rtl w:val="0"/>
        </w:rPr>
        <w:t xml:space="preserve">Disrupt </w:t>
      </w:r>
      <w:r w:rsidDel="00000000" w:rsidR="00000000" w:rsidRPr="00000000">
        <w:rPr>
          <w:rtl w:val="0"/>
        </w:rPr>
        <w:t xml:space="preserve">the narratives, policies, and behaviours that hinder the impact, safety, and sustainability of our partners and movements at large, to create a healthier, more supportive environment for our partners and constituencies. And C) </w:t>
      </w:r>
      <w:r w:rsidDel="00000000" w:rsidR="00000000" w:rsidRPr="00000000">
        <w:rPr>
          <w:b w:val="1"/>
          <w:bCs w:val="1"/>
          <w:rtl w:val="0"/>
        </w:rPr>
        <w:t xml:space="preserve">Define</w:t>
      </w:r>
      <w:r w:rsidDel="00000000" w:rsidR="00000000" w:rsidRPr="00000000">
        <w:rPr>
          <w:rtl w:val="0"/>
        </w:rPr>
        <w:t xml:space="preserve"> the future we want and deserve by funding, catalysing, and experimenting with innovative, long-term initiatives and approaches to programming, advocacy, fundraising, institution strengthening, or movement architecture.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These three areas recognise </w:t>
      </w:r>
      <w:r w:rsidDel="00000000" w:rsidR="00000000" w:rsidRPr="00000000">
        <w:rPr>
          <w:rtl w:val="0"/>
        </w:rPr>
        <w:t xml:space="preserve"> collectives are continually forced into survival mode grappling with engineered unwellness and the intentional fragmentation of our spaces. Yet, still they continue to resist, organise and strategise for a future that is </w:t>
      </w:r>
      <w:r w:rsidDel="00000000" w:rsidR="00000000" w:rsidRPr="00000000">
        <w:rPr>
          <w:rtl w:val="0"/>
        </w:rPr>
        <w:t xml:space="preserve">embracing of gender</w:t>
      </w:r>
      <w:r w:rsidDel="00000000" w:rsidR="00000000" w:rsidRPr="00000000">
        <w:rPr>
          <w:rtl w:val="0"/>
        </w:rPr>
        <w:t xml:space="preserve"> justice.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It is against this background that AWDF seeks Feminist Co-conspirators/ movement-rooted practitioners who know how to facilitate a process of interrogation and disruption. This is an invitation to hold space where partners can </w:t>
      </w:r>
      <w:r w:rsidDel="00000000" w:rsidR="00000000" w:rsidRPr="00000000">
        <w:rPr>
          <w:rtl w:val="0"/>
        </w:rPr>
        <w:t xml:space="preserve">unblock</w:t>
      </w:r>
      <w:r w:rsidDel="00000000" w:rsidR="00000000" w:rsidRPr="00000000">
        <w:rPr>
          <w:rtl w:val="0"/>
        </w:rPr>
        <w:t xml:space="preserve"> the power they already carry. Our goal is to journey with movements as they identify and dismantle the barriers they grapple with, from internal fragmentation to the toll of systemic unwellness. This is not a standard capacity-building exercise. It is an act of </w:t>
      </w:r>
      <w:r w:rsidDel="00000000" w:rsidR="00000000" w:rsidRPr="00000000">
        <w:rPr>
          <w:b w:val="1"/>
          <w:bCs w:val="1"/>
          <w:rtl w:val="0"/>
        </w:rPr>
        <w:t xml:space="preserve">Movement Accompaniment</w:t>
      </w:r>
      <w:r w:rsidDel="00000000" w:rsidR="00000000" w:rsidRPr="00000000">
        <w:rPr>
          <w:rtl w:val="0"/>
        </w:rPr>
        <w:t xml:space="preserve">, a commitment to walking alongside our partners as they interrogate, understand &amp; disrupt the root causes of what inhibits them from achieving their missions.</w:t>
      </w:r>
    </w:p>
    <w:p w:rsidR="00000000" w:rsidDel="00000000" w:rsidP="00000000" w:rsidRDefault="00000000" w:rsidRPr="00000000" w14:paraId="00000008">
      <w:pPr>
        <w:keepNext w:val="0"/>
        <w:keepLines w:val="0"/>
        <w:spacing w:after="240" w:before="240" w:lineRule="auto"/>
        <w:jc w:val="both"/>
        <w:rPr>
          <w:b w:val="1"/>
          <w:bCs w:val="1"/>
        </w:rPr>
      </w:pPr>
      <w:r w:rsidDel="00000000" w:rsidR="00000000" w:rsidRPr="00000000">
        <w:rPr>
          <w:b w:val="1"/>
          <w:bCs w:val="1"/>
          <w:rtl w:val="0"/>
        </w:rPr>
        <w:t xml:space="preserve">The Work: Areas of Accompaniment</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In alignment with our commitment to flourishing, we have identified five key pathways for movement accompaniment. Interested consultants may apply for one or more of the following assignments. Each requires a distinct thematic expertise, facilitation modality, and level of engagement: </w:t>
      </w:r>
    </w:p>
    <w:p w:rsidR="00000000" w:rsidDel="00000000" w:rsidP="00000000" w:rsidRDefault="00000000" w:rsidRPr="00000000" w14:paraId="0000000A">
      <w:pPr>
        <w:numPr>
          <w:ilvl w:val="0"/>
          <w:numId w:val="2"/>
        </w:numPr>
        <w:spacing w:after="0" w:afterAutospacing="0" w:before="240" w:lineRule="auto"/>
        <w:ind w:left="720" w:hanging="360"/>
        <w:jc w:val="both"/>
        <w:rPr/>
      </w:pPr>
      <w:r w:rsidDel="00000000" w:rsidR="00000000" w:rsidRPr="00000000">
        <w:rPr>
          <w:b w:val="1"/>
          <w:bCs w:val="1"/>
          <w:rtl w:val="0"/>
        </w:rPr>
        <w:t xml:space="preserve">Collective Care as Political Strategy</w:t>
      </w:r>
      <w:r w:rsidDel="00000000" w:rsidR="00000000" w:rsidRPr="00000000">
        <w:rPr>
          <w:rtl w:val="0"/>
        </w:rPr>
        <w:t xml:space="preserve">: A 2-day workshop Shifting care from individual burden to radical, systemic organisational practice; framing wellbeing as a primary defence against backlash. </w:t>
      </w:r>
    </w:p>
    <w:p w:rsidR="00000000" w:rsidDel="00000000" w:rsidP="00000000" w:rsidRDefault="00000000" w:rsidRPr="00000000" w14:paraId="0000000B">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Digital Security and Collective Safety: </w:t>
      </w:r>
      <w:r w:rsidDel="00000000" w:rsidR="00000000" w:rsidRPr="00000000">
        <w:rPr>
          <w:rtl w:val="0"/>
        </w:rPr>
        <w:t xml:space="preserve">A 4-day in-person training building practical digital security and data protection skills; developing organisational Digital Security Protocols and Cyber Harassment Response Plans. </w:t>
      </w:r>
    </w:p>
    <w:p w:rsidR="00000000" w:rsidDel="00000000" w:rsidP="00000000" w:rsidRDefault="00000000" w:rsidRPr="00000000" w14:paraId="0000000C">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Crisis Response Preparedness training: </w:t>
      </w:r>
      <w:r w:rsidDel="00000000" w:rsidR="00000000" w:rsidRPr="00000000">
        <w:rPr>
          <w:rtl w:val="0"/>
        </w:rPr>
        <w:t xml:space="preserve">A</w:t>
      </w:r>
      <w:r w:rsidDel="00000000" w:rsidR="00000000" w:rsidRPr="00000000">
        <w:rPr>
          <w:b w:val="1"/>
          <w:bCs w:val="1"/>
          <w:rtl w:val="0"/>
        </w:rPr>
        <w:t xml:space="preserve"> </w:t>
      </w:r>
      <w:r w:rsidDel="00000000" w:rsidR="00000000" w:rsidRPr="00000000">
        <w:rPr>
          <w:rtl w:val="0"/>
        </w:rPr>
        <w:t xml:space="preserve">4-day Feminist crisis response and communication preparedness for organisations facing political, digital, or reputational threats.</w:t>
      </w:r>
    </w:p>
    <w:p w:rsidR="00000000" w:rsidDel="00000000" w:rsidP="00000000" w:rsidRDefault="00000000" w:rsidRPr="00000000" w14:paraId="0000000D">
      <w:pPr>
        <w:numPr>
          <w:ilvl w:val="0"/>
          <w:numId w:val="2"/>
        </w:numPr>
        <w:ind w:left="720" w:hanging="360"/>
        <w:jc w:val="both"/>
        <w:rPr/>
      </w:pPr>
      <w:r w:rsidDel="00000000" w:rsidR="00000000" w:rsidRPr="00000000">
        <w:rPr>
          <w:b w:val="1"/>
          <w:bCs w:val="1"/>
          <w:rtl w:val="0"/>
        </w:rPr>
        <w:t xml:space="preserve">The Research &amp; Advocacy Teach-In:</w:t>
      </w:r>
      <w:r w:rsidDel="00000000" w:rsidR="00000000" w:rsidRPr="00000000">
        <w:rPr>
          <w:rtl w:val="0"/>
        </w:rPr>
        <w:t xml:space="preserve"> A 5-day in-person retreat designed as a strategic forge where feminist research meets political action. Here, we will equip partners to transform their lived evidence into the narratives and power required to shape our collective futures. Feminists operating in Francophone and Lusophone contexts.</w:t>
      </w:r>
    </w:p>
    <w:p w:rsidR="00000000" w:rsidDel="00000000" w:rsidP="00000000" w:rsidRDefault="00000000" w:rsidRPr="00000000" w14:paraId="0000000E">
      <w:pPr>
        <w:numPr>
          <w:ilvl w:val="0"/>
          <w:numId w:val="2"/>
        </w:numPr>
        <w:ind w:left="720" w:hanging="360"/>
        <w:jc w:val="both"/>
        <w:rPr/>
      </w:pPr>
      <w:r w:rsidDel="00000000" w:rsidR="00000000" w:rsidRPr="00000000">
        <w:rPr>
          <w:b w:val="1"/>
          <w:bCs w:val="1"/>
          <w:rtl w:val="0"/>
        </w:rPr>
        <w:t xml:space="preserve">Peer Learning Exchange Programme</w:t>
      </w:r>
      <w:r w:rsidDel="00000000" w:rsidR="00000000" w:rsidRPr="00000000">
        <w:rPr>
          <w:rtl w:val="0"/>
        </w:rPr>
        <w:t xml:space="preserve">: 6-month online journey, monthly facilitated peer learning circles on feminist governance, resource mobilisation, digital security, collective care, and advocacy. </w:t>
      </w:r>
    </w:p>
    <w:p w:rsidR="00000000" w:rsidDel="00000000" w:rsidP="00000000" w:rsidRDefault="00000000" w:rsidRPr="00000000" w14:paraId="0000000F">
      <w:pPr>
        <w:numPr>
          <w:ilvl w:val="0"/>
          <w:numId w:val="2"/>
        </w:numPr>
        <w:ind w:left="720" w:hanging="360"/>
        <w:jc w:val="both"/>
        <w:rPr/>
      </w:pPr>
      <w:r w:rsidDel="00000000" w:rsidR="00000000" w:rsidRPr="00000000">
        <w:rPr>
          <w:b w:val="1"/>
          <w:bCs w:val="1"/>
          <w:rtl w:val="0"/>
        </w:rPr>
        <w:t xml:space="preserve">Resilience Building Accompaniment </w:t>
      </w:r>
      <w:r w:rsidDel="00000000" w:rsidR="00000000" w:rsidRPr="00000000">
        <w:rPr>
          <w:rtl w:val="0"/>
        </w:rPr>
        <w:t xml:space="preserve">6-month online programme A cyclical journey of Learning covering advocacy in hostile spaces, collective care, and developing organisational Resilience Action Plans. </w:t>
      </w:r>
    </w:p>
    <w:p w:rsidR="00000000" w:rsidDel="00000000" w:rsidP="00000000" w:rsidRDefault="00000000" w:rsidRPr="00000000" w14:paraId="00000010">
      <w:pPr>
        <w:numPr>
          <w:ilvl w:val="0"/>
          <w:numId w:val="2"/>
        </w:numPr>
        <w:ind w:left="720" w:hanging="360"/>
        <w:jc w:val="both"/>
        <w:rPr/>
      </w:pPr>
      <w:r w:rsidDel="00000000" w:rsidR="00000000" w:rsidRPr="00000000">
        <w:rPr>
          <w:b w:val="1"/>
          <w:bCs w:val="1"/>
          <w:rtl w:val="0"/>
        </w:rPr>
        <w:t xml:space="preserve">Integrated resource directory and Toolkit</w:t>
      </w:r>
      <w:r w:rsidDel="00000000" w:rsidR="00000000" w:rsidRPr="00000000">
        <w:rPr>
          <w:rtl w:val="0"/>
        </w:rPr>
        <w:t xml:space="preserve">: a living, accessible ecosystem of practical tools, contextual knowledge, and peer connections designed to strengthen the operational resilience and strategic response capacity of Francophone and Lusophone women's rights movements.</w:t>
      </w:r>
    </w:p>
    <w:p w:rsidR="00000000" w:rsidDel="00000000" w:rsidP="00000000" w:rsidRDefault="00000000" w:rsidRPr="00000000" w14:paraId="00000011">
      <w:pPr>
        <w:spacing w:after="240" w:before="0" w:lineRule="auto"/>
        <w:ind w:left="0" w:firstLine="0"/>
        <w:jc w:val="both"/>
        <w:rPr/>
      </w:pPr>
      <w:r w:rsidDel="00000000" w:rsidR="00000000" w:rsidRPr="00000000">
        <w:rPr>
          <w:rtl w:val="0"/>
        </w:rPr>
      </w:r>
    </w:p>
    <w:p w:rsidR="00000000" w:rsidDel="00000000" w:rsidP="00000000" w:rsidRDefault="00000000" w:rsidRPr="00000000" w14:paraId="00000012">
      <w:pPr>
        <w:spacing w:after="240" w:before="240" w:lineRule="auto"/>
        <w:ind w:left="0" w:firstLine="0"/>
        <w:jc w:val="both"/>
        <w:rPr>
          <w:b w:val="1"/>
          <w:bCs w:val="1"/>
        </w:rPr>
      </w:pPr>
      <w:r w:rsidDel="00000000" w:rsidR="00000000" w:rsidRPr="00000000">
        <w:rPr>
          <w:b w:val="1"/>
          <w:bCs w:val="1"/>
          <w:rtl w:val="0"/>
        </w:rPr>
        <w:t xml:space="preserve">Who You Are: Consultant suitability </w:t>
      </w:r>
    </w:p>
    <w:p w:rsidR="00000000" w:rsidDel="00000000" w:rsidP="00000000" w:rsidRDefault="00000000" w:rsidRPr="00000000" w14:paraId="00000013">
      <w:pPr>
        <w:keepNext w:val="0"/>
        <w:keepLines w:val="0"/>
        <w:spacing w:after="240" w:before="240" w:lineRule="auto"/>
        <w:jc w:val="both"/>
        <w:rPr/>
      </w:pPr>
      <w:r w:rsidDel="00000000" w:rsidR="00000000" w:rsidRPr="00000000">
        <w:rPr>
          <w:rtl w:val="0"/>
        </w:rPr>
        <w:t xml:space="preserve">The ideal practitioner(s) understands that institutional health is not a bureaucratic checkbox, it is a radical act of defiance. This role is not for those who run workshops, but for weavers of stories and holders of space who have the courage to look at the shadows within collectives, the power imbalances, the exhaustion, the fragmentation and help transform them into sites of strength.</w:t>
      </w:r>
    </w:p>
    <w:p w:rsidR="00000000" w:rsidDel="00000000" w:rsidP="00000000" w:rsidRDefault="00000000" w:rsidRPr="00000000" w14:paraId="00000014">
      <w:pPr>
        <w:keepNext w:val="0"/>
        <w:keepLines w:val="0"/>
        <w:spacing w:after="240" w:before="240" w:lineRule="auto"/>
        <w:jc w:val="both"/>
        <w:rPr/>
      </w:pPr>
      <w:r w:rsidDel="00000000" w:rsidR="00000000" w:rsidRPr="00000000">
        <w:rPr>
          <w:rtl w:val="0"/>
        </w:rPr>
        <w:t xml:space="preserve">The work requires someone deeply comfortable with the beautiful messiness of movement work. We need someone who can facilitate the radical reimagining of how we work, how we stay alive, and how we win all while ensuring the movement does not lose its joy in the process.</w:t>
      </w:r>
    </w:p>
    <w:p w:rsidR="00000000" w:rsidDel="00000000" w:rsidP="00000000" w:rsidRDefault="00000000" w:rsidRPr="00000000" w14:paraId="00000015">
      <w:pPr>
        <w:keepNext w:val="0"/>
        <w:keepLines w:val="0"/>
        <w:spacing w:before="280" w:lineRule="auto"/>
        <w:jc w:val="both"/>
        <w:rPr/>
      </w:pPr>
      <w:r w:rsidDel="00000000" w:rsidR="00000000" w:rsidRPr="00000000">
        <w:rPr>
          <w:b w:val="1"/>
          <w:bCs w:val="1"/>
          <w:rtl w:val="0"/>
        </w:rPr>
        <w:t xml:space="preserve">Scope of Work</w: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t xml:space="preserve">In collaboration with AWDF’s Nurturing Feminist Movement’s Cluster, the Feminist Co-conspirator will:</w:t>
      </w:r>
    </w:p>
    <w:p w:rsidR="00000000" w:rsidDel="00000000" w:rsidP="00000000" w:rsidRDefault="00000000" w:rsidRPr="00000000" w14:paraId="00000017">
      <w:pPr>
        <w:numPr>
          <w:ilvl w:val="0"/>
          <w:numId w:val="1"/>
        </w:numPr>
        <w:spacing w:after="0" w:before="240" w:lineRule="auto"/>
        <w:ind w:left="720" w:hanging="360"/>
        <w:jc w:val="both"/>
        <w:rPr/>
      </w:pPr>
      <w:r w:rsidDel="00000000" w:rsidR="00000000" w:rsidRPr="00000000">
        <w:rPr>
          <w:rtl w:val="0"/>
        </w:rPr>
        <w:t xml:space="preserve">Design the content for specific sessions, guiding on the methodologies and engagement.</w:t>
      </w:r>
    </w:p>
    <w:p w:rsidR="00000000" w:rsidDel="00000000" w:rsidP="00000000" w:rsidRDefault="00000000" w:rsidRPr="00000000" w14:paraId="00000018">
      <w:pPr>
        <w:numPr>
          <w:ilvl w:val="0"/>
          <w:numId w:val="1"/>
        </w:numPr>
        <w:spacing w:after="0" w:before="240" w:lineRule="auto"/>
        <w:ind w:left="720" w:hanging="360"/>
        <w:jc w:val="both"/>
        <w:rPr/>
      </w:pPr>
      <w:r w:rsidDel="00000000" w:rsidR="00000000" w:rsidRPr="00000000">
        <w:rPr>
          <w:rtl w:val="0"/>
        </w:rPr>
        <w:t xml:space="preserve">Co-create and hold the spaces for interactive, participatory sessions tailored to the chosen thematic area, ensuring the flow is rooted in African feminist principles and movement-building.</w:t>
      </w:r>
    </w:p>
    <w:p w:rsidR="00000000" w:rsidDel="00000000" w:rsidP="00000000" w:rsidRDefault="00000000" w:rsidRPr="00000000" w14:paraId="00000019">
      <w:pPr>
        <w:numPr>
          <w:ilvl w:val="0"/>
          <w:numId w:val="1"/>
        </w:numPr>
        <w:spacing w:after="0" w:before="0" w:lineRule="auto"/>
        <w:ind w:left="720" w:hanging="360"/>
        <w:jc w:val="both"/>
        <w:rPr/>
      </w:pPr>
      <w:r w:rsidDel="00000000" w:rsidR="00000000" w:rsidRPr="00000000">
        <w:rPr>
          <w:rtl w:val="0"/>
        </w:rPr>
        <w:t xml:space="preserve">Develop the pedagogical flow and advise AWDF on integrating additional movement voices such as elders, healers, or artists to deepen the resonance and creative energy of the programmes.</w:t>
      </w:r>
    </w:p>
    <w:p w:rsidR="00000000" w:rsidDel="00000000" w:rsidP="00000000" w:rsidRDefault="00000000" w:rsidRPr="00000000" w14:paraId="0000001A">
      <w:pPr>
        <w:numPr>
          <w:ilvl w:val="0"/>
          <w:numId w:val="1"/>
        </w:numPr>
        <w:spacing w:after="0" w:before="0" w:lineRule="auto"/>
        <w:ind w:left="720" w:hanging="360"/>
        <w:jc w:val="both"/>
        <w:rPr/>
      </w:pPr>
      <w:r w:rsidDel="00000000" w:rsidR="00000000" w:rsidRPr="00000000">
        <w:rPr>
          <w:rtl w:val="0"/>
        </w:rPr>
        <w:t xml:space="preserve">Conduct participatory reflections with partners to surface their specific needs, tensions, and contexts, ensuring the content is a direct response to their lived realities rather than a pre-packaged curriculum.</w:t>
      </w:r>
    </w:p>
    <w:p w:rsidR="00000000" w:rsidDel="00000000" w:rsidP="00000000" w:rsidRDefault="00000000" w:rsidRPr="00000000" w14:paraId="0000001B">
      <w:pPr>
        <w:numPr>
          <w:ilvl w:val="0"/>
          <w:numId w:val="1"/>
        </w:numPr>
        <w:spacing w:after="0" w:before="0" w:lineRule="auto"/>
        <w:ind w:left="720" w:hanging="360"/>
        <w:jc w:val="both"/>
        <w:rPr/>
      </w:pPr>
      <w:r w:rsidDel="00000000" w:rsidR="00000000" w:rsidRPr="00000000">
        <w:rPr>
          <w:rtl w:val="0"/>
        </w:rPr>
        <w:t xml:space="preserve">Work closely with the interpretation team to ensure all materials and dialogues are not just translated, but are culturally grounded and politically resonant in English, Portuguese and French.</w:t>
      </w:r>
    </w:p>
    <w:p w:rsidR="00000000" w:rsidDel="00000000" w:rsidP="00000000" w:rsidRDefault="00000000" w:rsidRPr="00000000" w14:paraId="0000001C">
      <w:pPr>
        <w:numPr>
          <w:ilvl w:val="0"/>
          <w:numId w:val="1"/>
        </w:numPr>
        <w:spacing w:after="0" w:before="0" w:lineRule="auto"/>
        <w:ind w:left="720" w:hanging="360"/>
        <w:jc w:val="both"/>
        <w:rPr/>
      </w:pPr>
      <w:r w:rsidDel="00000000" w:rsidR="00000000" w:rsidRPr="00000000">
        <w:rPr>
          <w:rtl w:val="0"/>
        </w:rPr>
        <w:t xml:space="preserve">Support each participating collective in drafting action plans, a living document to guide the integration of these new strategies and shifts into their daily work and organizational culture.</w:t>
      </w:r>
    </w:p>
    <w:p w:rsidR="00000000" w:rsidDel="00000000" w:rsidP="00000000" w:rsidRDefault="00000000" w:rsidRPr="00000000" w14:paraId="0000001D">
      <w:pPr>
        <w:numPr>
          <w:ilvl w:val="0"/>
          <w:numId w:val="1"/>
        </w:numPr>
        <w:spacing w:after="240" w:before="0" w:lineRule="auto"/>
        <w:ind w:left="720" w:hanging="360"/>
        <w:jc w:val="both"/>
        <w:rPr/>
      </w:pPr>
      <w:r w:rsidDel="00000000" w:rsidR="00000000" w:rsidRPr="00000000">
        <w:rPr>
          <w:rtl w:val="0"/>
        </w:rPr>
        <w:t xml:space="preserve">Curate a resource web of radical tools, readings, and community practices to support the partners' continued growth and sovereignty long after the sessions end.</w:t>
      </w:r>
    </w:p>
    <w:p w:rsidR="00000000" w:rsidDel="00000000" w:rsidP="00000000" w:rsidRDefault="00000000" w:rsidRPr="00000000" w14:paraId="0000001E">
      <w:pPr>
        <w:widowControl w:val="0"/>
        <w:spacing w:before="480" w:line="240" w:lineRule="auto"/>
        <w:rPr/>
      </w:pPr>
      <w:r w:rsidDel="00000000" w:rsidR="00000000" w:rsidRPr="00000000">
        <w:rPr>
          <w:b w:val="1"/>
          <w:bCs w:val="1"/>
          <w:rtl w:val="0"/>
        </w:rPr>
        <w:t xml:space="preserve">Application Process </w:t>
      </w:r>
      <w:r w:rsidDel="00000000" w:rsidR="00000000" w:rsidRPr="00000000">
        <w:rPr>
          <w:rtl w:val="0"/>
        </w:rPr>
        <w:t xml:space="preserve">: </w:t>
      </w:r>
    </w:p>
    <w:p w:rsidR="00000000" w:rsidDel="00000000" w:rsidP="00000000" w:rsidRDefault="00000000" w:rsidRPr="00000000" w14:paraId="0000001F">
      <w:pPr>
        <w:widowControl w:val="0"/>
        <w:spacing w:before="480" w:line="276" w:lineRule="auto"/>
        <w:rPr/>
      </w:pPr>
      <w:r w:rsidDel="00000000" w:rsidR="00000000" w:rsidRPr="00000000">
        <w:rPr>
          <w:rtl w:val="0"/>
        </w:rPr>
        <w:t xml:space="preserve">Interested practitioners should submit a </w:t>
      </w:r>
      <w:r w:rsidDel="00000000" w:rsidR="00000000" w:rsidRPr="00000000">
        <w:rPr>
          <w:b w:val="1"/>
          <w:bCs w:val="1"/>
          <w:rtl w:val="0"/>
        </w:rPr>
        <w:t xml:space="preserve">Technical Expression of Interest</w:t>
      </w:r>
      <w:r w:rsidDel="00000000" w:rsidR="00000000" w:rsidRPr="00000000">
        <w:rPr>
          <w:rtl w:val="0"/>
        </w:rPr>
        <w:t xml:space="preserve"> (detailing methodology and pathway(s) for movement accompaniment) and a </w:t>
      </w:r>
      <w:r w:rsidDel="00000000" w:rsidR="00000000" w:rsidRPr="00000000">
        <w:rPr>
          <w:b w:val="1"/>
          <w:bCs w:val="1"/>
          <w:rtl w:val="0"/>
        </w:rPr>
        <w:t xml:space="preserve">Financial Proposal</w:t>
      </w:r>
      <w:r w:rsidDel="00000000" w:rsidR="00000000" w:rsidRPr="00000000">
        <w:rPr>
          <w:rtl w:val="0"/>
        </w:rPr>
        <w:t xml:space="preserve"> to </w:t>
      </w:r>
      <w:hyperlink r:id="rId9">
        <w:r w:rsidDel="00000000" w:rsidR="00000000" w:rsidRPr="00000000">
          <w:rPr>
            <w:color w:val="1155cc"/>
            <w:u w:val="single"/>
            <w:rtl w:val="0"/>
          </w:rPr>
          <w:t xml:space="preserve">Consultants@awdf.org</w:t>
        </w:r>
      </w:hyperlink>
      <w:r w:rsidDel="00000000" w:rsidR="00000000" w:rsidRPr="00000000">
        <w:rPr>
          <w:rtl w:val="0"/>
        </w:rPr>
        <w:t xml:space="preserve">  by close of business on 20 March 2026.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sultants@awd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wdf.org/lemlem-awdf-strategic-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skEnx9mpeax4nsF8wheSH27Aw==">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