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D4F2D" w14:textId="77777777" w:rsidR="003E7911" w:rsidRPr="003C4ACF" w:rsidRDefault="003E7911" w:rsidP="00AC0BE6">
      <w:pPr>
        <w:rPr>
          <w:rFonts w:ascii="Tahoma" w:hAnsi="Tahoma" w:cs="Tahoma"/>
          <w:sz w:val="22"/>
          <w:szCs w:val="22"/>
        </w:rPr>
      </w:pPr>
    </w:p>
    <w:p w14:paraId="07D369D6" w14:textId="77777777" w:rsidR="00206021" w:rsidRPr="003C4ACF" w:rsidRDefault="00206021" w:rsidP="00AC0BE6">
      <w:pPr>
        <w:rPr>
          <w:rFonts w:ascii="Tahoma" w:hAnsi="Tahoma" w:cs="Tahoma"/>
          <w:sz w:val="22"/>
          <w:szCs w:val="22"/>
        </w:rPr>
      </w:pPr>
    </w:p>
    <w:p w14:paraId="548FED37" w14:textId="77777777" w:rsidR="00206021" w:rsidRPr="003C4ACF" w:rsidRDefault="00206021" w:rsidP="00AC0BE6">
      <w:pPr>
        <w:rPr>
          <w:rFonts w:ascii="Tahoma" w:hAnsi="Tahoma" w:cs="Tahoma"/>
          <w:sz w:val="22"/>
          <w:szCs w:val="22"/>
        </w:rPr>
      </w:pPr>
    </w:p>
    <w:p w14:paraId="308C32D8" w14:textId="77777777" w:rsidR="00206021" w:rsidRPr="003C4ACF" w:rsidRDefault="00206021" w:rsidP="00AC0BE6">
      <w:pPr>
        <w:rPr>
          <w:rFonts w:ascii="Tahoma" w:hAnsi="Tahoma" w:cs="Tahoma"/>
          <w:sz w:val="22"/>
          <w:szCs w:val="22"/>
        </w:rPr>
      </w:pPr>
    </w:p>
    <w:p w14:paraId="0D875679" w14:textId="77777777" w:rsidR="00206021" w:rsidRPr="003C4ACF" w:rsidRDefault="00206021" w:rsidP="00AC0BE6">
      <w:pPr>
        <w:rPr>
          <w:rFonts w:ascii="Tahoma" w:hAnsi="Tahoma" w:cs="Tahoma"/>
          <w:sz w:val="22"/>
          <w:szCs w:val="22"/>
        </w:rPr>
      </w:pPr>
    </w:p>
    <w:p w14:paraId="1C0D16CF" w14:textId="77777777" w:rsidR="00206021" w:rsidRPr="003C4ACF" w:rsidRDefault="00206021" w:rsidP="00AC0BE6">
      <w:pPr>
        <w:rPr>
          <w:rFonts w:ascii="Tahoma" w:hAnsi="Tahoma" w:cs="Tahoma"/>
          <w:sz w:val="22"/>
          <w:szCs w:val="22"/>
        </w:rPr>
      </w:pPr>
    </w:p>
    <w:p w14:paraId="3D30B52D" w14:textId="77777777" w:rsidR="00206021" w:rsidRPr="003C4ACF" w:rsidRDefault="00206021" w:rsidP="00AC0BE6">
      <w:pPr>
        <w:rPr>
          <w:rFonts w:ascii="Tahoma" w:hAnsi="Tahoma" w:cs="Tahoma"/>
          <w:sz w:val="22"/>
          <w:szCs w:val="22"/>
        </w:rPr>
      </w:pPr>
    </w:p>
    <w:p w14:paraId="10A35F1C" w14:textId="77777777" w:rsidR="00206021" w:rsidRPr="003C4ACF" w:rsidRDefault="00206021" w:rsidP="00AC0BE6">
      <w:pPr>
        <w:rPr>
          <w:rFonts w:ascii="Tahoma" w:hAnsi="Tahoma" w:cs="Tahoma"/>
          <w:sz w:val="22"/>
          <w:szCs w:val="22"/>
        </w:rPr>
      </w:pPr>
    </w:p>
    <w:p w14:paraId="66846DE4" w14:textId="77777777" w:rsidR="00206021" w:rsidRPr="003C4ACF" w:rsidRDefault="00206021" w:rsidP="00AC0BE6">
      <w:pPr>
        <w:rPr>
          <w:rFonts w:ascii="Tahoma" w:hAnsi="Tahoma" w:cs="Tahoma"/>
          <w:sz w:val="22"/>
          <w:szCs w:val="22"/>
        </w:rPr>
      </w:pPr>
    </w:p>
    <w:p w14:paraId="0178B0EE" w14:textId="77777777" w:rsidR="00206021" w:rsidRPr="003C4ACF" w:rsidRDefault="00206021" w:rsidP="00AC0BE6">
      <w:pPr>
        <w:rPr>
          <w:rFonts w:ascii="Tahoma" w:hAnsi="Tahoma" w:cs="Tahoma"/>
          <w:sz w:val="22"/>
          <w:szCs w:val="22"/>
        </w:rPr>
      </w:pPr>
    </w:p>
    <w:p w14:paraId="0E28398F" w14:textId="77777777" w:rsidR="00206021" w:rsidRPr="003C4ACF" w:rsidRDefault="00206021" w:rsidP="00AC0BE6">
      <w:pPr>
        <w:rPr>
          <w:rFonts w:ascii="Tahoma" w:hAnsi="Tahoma" w:cs="Tahoma"/>
          <w:sz w:val="22"/>
          <w:szCs w:val="22"/>
        </w:rPr>
      </w:pPr>
    </w:p>
    <w:p w14:paraId="3834E50A" w14:textId="77777777" w:rsidR="003E7911" w:rsidRPr="003C4ACF" w:rsidRDefault="003E7911" w:rsidP="00AC0BE6">
      <w:pPr>
        <w:rPr>
          <w:rFonts w:ascii="Tahoma" w:hAnsi="Tahoma" w:cs="Tahoma"/>
          <w:sz w:val="22"/>
          <w:szCs w:val="22"/>
        </w:rPr>
      </w:pPr>
    </w:p>
    <w:p w14:paraId="6043778D" w14:textId="77777777" w:rsidR="00270B6E" w:rsidRPr="00E51A34" w:rsidRDefault="00D81D3C" w:rsidP="00AC0BE6">
      <w:pPr>
        <w:pStyle w:val="Title"/>
        <w:rPr>
          <w:rFonts w:ascii="Tahoma" w:hAnsi="Tahoma" w:cs="Tahoma"/>
          <w:b/>
          <w:sz w:val="22"/>
          <w:szCs w:val="22"/>
        </w:rPr>
      </w:pPr>
      <w:r w:rsidRPr="00E51A34">
        <w:rPr>
          <w:rFonts w:ascii="Tahoma" w:hAnsi="Tahoma" w:cs="Tahoma"/>
          <w:b/>
          <w:sz w:val="22"/>
          <w:szCs w:val="22"/>
        </w:rPr>
        <w:t>LEADING FROM THE SOUTH:</w:t>
      </w:r>
    </w:p>
    <w:p w14:paraId="174E4653" w14:textId="77777777" w:rsidR="00D81D3C" w:rsidRPr="00E51A34" w:rsidRDefault="00D81D3C" w:rsidP="00AC0BE6">
      <w:pPr>
        <w:pStyle w:val="Subtitle"/>
        <w:rPr>
          <w:rFonts w:ascii="Tahoma" w:hAnsi="Tahoma" w:cs="Tahoma"/>
          <w:b/>
          <w:i w:val="0"/>
          <w:sz w:val="22"/>
          <w:szCs w:val="22"/>
        </w:rPr>
      </w:pPr>
      <w:r w:rsidRPr="00E51A34">
        <w:rPr>
          <w:rFonts w:ascii="Tahoma" w:hAnsi="Tahoma" w:cs="Tahoma"/>
          <w:b/>
          <w:i w:val="0"/>
          <w:sz w:val="22"/>
          <w:szCs w:val="22"/>
        </w:rPr>
        <w:t>A FUND TO RESOURCE WOMEN’S HUMAN RIGH</w:t>
      </w:r>
      <w:r w:rsidR="00270B6E" w:rsidRPr="00E51A34">
        <w:rPr>
          <w:rFonts w:ascii="Tahoma" w:hAnsi="Tahoma" w:cs="Tahoma"/>
          <w:b/>
          <w:i w:val="0"/>
          <w:sz w:val="22"/>
          <w:szCs w:val="22"/>
        </w:rPr>
        <w:t>TS ACTIVISM IN THE GLOBAL SOUTH</w:t>
      </w:r>
    </w:p>
    <w:p w14:paraId="30EC996C" w14:textId="77777777" w:rsidR="003818C2" w:rsidRPr="00E51A34" w:rsidRDefault="003818C2" w:rsidP="00AC0BE6">
      <w:pPr>
        <w:rPr>
          <w:rFonts w:ascii="Tahoma" w:hAnsi="Tahoma" w:cs="Tahoma"/>
          <w:sz w:val="22"/>
          <w:szCs w:val="22"/>
        </w:rPr>
      </w:pPr>
    </w:p>
    <w:p w14:paraId="5B83269A" w14:textId="77777777" w:rsidR="0091420B" w:rsidRPr="00E51A34" w:rsidRDefault="0058079D" w:rsidP="0058079D">
      <w:pPr>
        <w:rPr>
          <w:rFonts w:ascii="Tahoma" w:hAnsi="Tahoma" w:cs="Tahoma"/>
          <w:b/>
          <w:color w:val="752EB0" w:themeColor="accent2" w:themeShade="BF"/>
          <w:sz w:val="22"/>
          <w:szCs w:val="22"/>
        </w:rPr>
      </w:pPr>
      <w:r w:rsidRPr="00E51A34">
        <w:rPr>
          <w:rFonts w:ascii="Tahoma" w:hAnsi="Tahoma" w:cs="Tahoma"/>
          <w:b/>
          <w:color w:val="752EB0" w:themeColor="accent2" w:themeShade="BF"/>
          <w:sz w:val="22"/>
          <w:szCs w:val="22"/>
        </w:rPr>
        <w:t>AFRICAN WOMEN’S DEVELOPMENT FUND |</w:t>
      </w:r>
    </w:p>
    <w:p w14:paraId="34591E3E" w14:textId="4A688008" w:rsidR="00D87CAF" w:rsidRPr="00E51A34" w:rsidRDefault="003E7911" w:rsidP="0058079D">
      <w:pPr>
        <w:rPr>
          <w:rFonts w:ascii="Tahoma" w:hAnsi="Tahoma" w:cs="Tahoma"/>
          <w:sz w:val="22"/>
          <w:szCs w:val="22"/>
        </w:rPr>
      </w:pPr>
      <w:r w:rsidRPr="00E51A34">
        <w:rPr>
          <w:rFonts w:ascii="Tahoma" w:hAnsi="Tahoma" w:cs="Tahoma"/>
          <w:sz w:val="22"/>
          <w:szCs w:val="22"/>
        </w:rPr>
        <w:t>CALL FOR PROPOSALS</w:t>
      </w:r>
      <w:r w:rsidR="006E2355" w:rsidRPr="00E51A34">
        <w:rPr>
          <w:rFonts w:ascii="Tahoma" w:hAnsi="Tahoma" w:cs="Tahoma"/>
          <w:sz w:val="22"/>
          <w:szCs w:val="22"/>
        </w:rPr>
        <w:t xml:space="preserve"> F</w:t>
      </w:r>
      <w:r w:rsidR="0058079D" w:rsidRPr="00E51A34">
        <w:rPr>
          <w:rFonts w:ascii="Tahoma" w:hAnsi="Tahoma" w:cs="Tahoma"/>
          <w:sz w:val="22"/>
          <w:szCs w:val="22"/>
        </w:rPr>
        <w:t>ROM</w:t>
      </w:r>
      <w:r w:rsidR="006E2355" w:rsidRPr="00E51A34">
        <w:rPr>
          <w:rFonts w:ascii="Tahoma" w:hAnsi="Tahoma" w:cs="Tahoma"/>
          <w:sz w:val="22"/>
          <w:szCs w:val="22"/>
        </w:rPr>
        <w:t xml:space="preserve"> </w:t>
      </w:r>
      <w:r w:rsidR="00D87CAF" w:rsidRPr="00E51A34">
        <w:rPr>
          <w:rFonts w:ascii="Tahoma" w:hAnsi="Tahoma" w:cs="Tahoma"/>
          <w:sz w:val="22"/>
          <w:szCs w:val="22"/>
        </w:rPr>
        <w:t>AFRICA</w:t>
      </w:r>
      <w:r w:rsidR="006E2355" w:rsidRPr="00E51A34">
        <w:rPr>
          <w:rFonts w:ascii="Tahoma" w:hAnsi="Tahoma" w:cs="Tahoma"/>
          <w:sz w:val="22"/>
          <w:szCs w:val="22"/>
        </w:rPr>
        <w:t xml:space="preserve"> AND </w:t>
      </w:r>
      <w:r w:rsidR="00D87CAF" w:rsidRPr="00E51A34">
        <w:rPr>
          <w:rFonts w:ascii="Tahoma" w:hAnsi="Tahoma" w:cs="Tahoma"/>
          <w:sz w:val="22"/>
          <w:szCs w:val="22"/>
        </w:rPr>
        <w:t xml:space="preserve">THE MIDDLE EAST </w:t>
      </w:r>
    </w:p>
    <w:p w14:paraId="2604A16D" w14:textId="23E5F4E6" w:rsidR="00675226" w:rsidRPr="00E51A34" w:rsidRDefault="00675226" w:rsidP="0058079D">
      <w:pPr>
        <w:rPr>
          <w:rFonts w:ascii="Tahoma" w:hAnsi="Tahoma" w:cs="Tahoma"/>
          <w:sz w:val="22"/>
          <w:szCs w:val="22"/>
        </w:rPr>
      </w:pPr>
      <w:r w:rsidRPr="00E51A34">
        <w:rPr>
          <w:rFonts w:ascii="Tahoma" w:hAnsi="Tahoma" w:cs="Tahoma"/>
          <w:sz w:val="22"/>
          <w:szCs w:val="22"/>
        </w:rPr>
        <w:t>ROUND 3</w:t>
      </w:r>
    </w:p>
    <w:p w14:paraId="62493869" w14:textId="77777777" w:rsidR="0058079D" w:rsidRPr="00E51A34" w:rsidRDefault="0058079D" w:rsidP="0058079D">
      <w:pPr>
        <w:rPr>
          <w:rFonts w:ascii="Tahoma" w:hAnsi="Tahoma" w:cs="Tahoma"/>
          <w:b/>
          <w:color w:val="752EB0" w:themeColor="accent2" w:themeShade="BF"/>
          <w:sz w:val="22"/>
          <w:szCs w:val="22"/>
        </w:rPr>
      </w:pPr>
    </w:p>
    <w:p w14:paraId="0FE5DB21" w14:textId="0F4FA7E3" w:rsidR="0015245E" w:rsidRPr="00E51A34" w:rsidRDefault="00354547" w:rsidP="00AC0BE6">
      <w:pPr>
        <w:rPr>
          <w:rFonts w:ascii="Tahoma" w:hAnsi="Tahoma" w:cs="Tahoma"/>
          <w:b/>
          <w:sz w:val="22"/>
          <w:szCs w:val="22"/>
        </w:rPr>
      </w:pPr>
      <w:r w:rsidRPr="00E51A34">
        <w:rPr>
          <w:rFonts w:ascii="Tahoma" w:hAnsi="Tahoma" w:cs="Tahoma"/>
          <w:b/>
          <w:sz w:val="22"/>
          <w:szCs w:val="22"/>
        </w:rPr>
        <w:t>APPLICATION GUIDANCE</w:t>
      </w:r>
    </w:p>
    <w:p w14:paraId="7DE87BBD" w14:textId="5002B299" w:rsidR="00354547" w:rsidRPr="00E51A34" w:rsidRDefault="00AD4FCC" w:rsidP="00AC0BE6">
      <w:pPr>
        <w:rPr>
          <w:rFonts w:ascii="Tahoma" w:hAnsi="Tahoma" w:cs="Tahoma"/>
          <w:b/>
          <w:sz w:val="22"/>
          <w:szCs w:val="22"/>
        </w:rPr>
      </w:pPr>
      <w:r w:rsidRPr="00E51A34">
        <w:rPr>
          <w:rFonts w:ascii="Tahoma" w:hAnsi="Tahoma" w:cs="Tahoma"/>
          <w:b/>
          <w:sz w:val="22"/>
          <w:szCs w:val="22"/>
        </w:rPr>
        <w:t>June</w:t>
      </w:r>
      <w:r w:rsidR="00354547" w:rsidRPr="00E51A34">
        <w:rPr>
          <w:rFonts w:ascii="Tahoma" w:hAnsi="Tahoma" w:cs="Tahoma"/>
          <w:b/>
          <w:sz w:val="22"/>
          <w:szCs w:val="22"/>
        </w:rPr>
        <w:t xml:space="preserve"> 201</w:t>
      </w:r>
      <w:r w:rsidRPr="00E51A34">
        <w:rPr>
          <w:rFonts w:ascii="Tahoma" w:hAnsi="Tahoma" w:cs="Tahoma"/>
          <w:b/>
          <w:sz w:val="22"/>
          <w:szCs w:val="22"/>
        </w:rPr>
        <w:t>8</w:t>
      </w:r>
    </w:p>
    <w:p w14:paraId="23C26875" w14:textId="77777777" w:rsidR="00CE6534" w:rsidRPr="00E51A34" w:rsidRDefault="00CE6534" w:rsidP="00AC0BE6">
      <w:pPr>
        <w:rPr>
          <w:rFonts w:ascii="Tahoma" w:hAnsi="Tahoma" w:cs="Tahoma"/>
          <w:b/>
          <w:sz w:val="22"/>
          <w:szCs w:val="22"/>
        </w:rPr>
      </w:pPr>
    </w:p>
    <w:p w14:paraId="00143631" w14:textId="77777777" w:rsidR="00AA4D07" w:rsidRPr="00E51A34" w:rsidRDefault="00AA4D07" w:rsidP="00AC0BE6">
      <w:pPr>
        <w:rPr>
          <w:rFonts w:ascii="Tahoma" w:hAnsi="Tahoma" w:cs="Tahoma"/>
          <w:sz w:val="22"/>
          <w:szCs w:val="22"/>
        </w:rPr>
      </w:pPr>
    </w:p>
    <w:p w14:paraId="226FA7EE" w14:textId="77777777" w:rsidR="00206021" w:rsidRPr="00E51A34" w:rsidRDefault="00206021" w:rsidP="00AC0BE6">
      <w:pPr>
        <w:rPr>
          <w:rFonts w:ascii="Tahoma" w:hAnsi="Tahoma" w:cs="Tahoma"/>
          <w:sz w:val="22"/>
          <w:szCs w:val="22"/>
        </w:rPr>
      </w:pPr>
    </w:p>
    <w:p w14:paraId="3D7F7C3A" w14:textId="77777777" w:rsidR="00206021" w:rsidRPr="00E51A34" w:rsidRDefault="00206021" w:rsidP="00AC0BE6">
      <w:pPr>
        <w:rPr>
          <w:rFonts w:ascii="Tahoma" w:hAnsi="Tahoma" w:cs="Tahoma"/>
          <w:sz w:val="22"/>
          <w:szCs w:val="22"/>
        </w:rPr>
      </w:pPr>
    </w:p>
    <w:p w14:paraId="5ECD86CC" w14:textId="77777777" w:rsidR="00206021" w:rsidRPr="00E51A34" w:rsidRDefault="00206021" w:rsidP="00AC0BE6">
      <w:pPr>
        <w:rPr>
          <w:rFonts w:ascii="Tahoma" w:hAnsi="Tahoma" w:cs="Tahoma"/>
          <w:sz w:val="22"/>
          <w:szCs w:val="22"/>
        </w:rPr>
      </w:pPr>
    </w:p>
    <w:p w14:paraId="0DB93620" w14:textId="581B89C3" w:rsidR="00206021" w:rsidRPr="00E51A34" w:rsidRDefault="0091420B" w:rsidP="00AC0BE6">
      <w:pPr>
        <w:rPr>
          <w:rFonts w:ascii="Tahoma" w:hAnsi="Tahoma" w:cs="Tahoma"/>
          <w:sz w:val="22"/>
          <w:szCs w:val="22"/>
        </w:rPr>
      </w:pPr>
      <w:r w:rsidRPr="00E51A34">
        <w:rPr>
          <w:rFonts w:ascii="Tahoma" w:hAnsi="Tahoma" w:cs="Tahoma"/>
          <w:sz w:val="22"/>
          <w:szCs w:val="22"/>
        </w:rPr>
        <w:t>www.awdf.org</w:t>
      </w:r>
    </w:p>
    <w:p w14:paraId="155E2053" w14:textId="77777777" w:rsidR="00206021" w:rsidRPr="00E51A34" w:rsidRDefault="00206021" w:rsidP="00AC0BE6">
      <w:pPr>
        <w:rPr>
          <w:rFonts w:ascii="Tahoma" w:hAnsi="Tahoma" w:cs="Tahoma"/>
          <w:sz w:val="22"/>
          <w:szCs w:val="22"/>
        </w:rPr>
      </w:pPr>
    </w:p>
    <w:p w14:paraId="570ADA8E" w14:textId="77777777" w:rsidR="00206021" w:rsidRPr="00E51A34" w:rsidRDefault="00206021" w:rsidP="00AC0BE6">
      <w:pPr>
        <w:rPr>
          <w:rFonts w:ascii="Tahoma" w:hAnsi="Tahoma" w:cs="Tahoma"/>
          <w:sz w:val="22"/>
          <w:szCs w:val="22"/>
        </w:rPr>
      </w:pPr>
    </w:p>
    <w:p w14:paraId="566F6196" w14:textId="77777777" w:rsidR="00206021" w:rsidRPr="00E51A34" w:rsidRDefault="00206021" w:rsidP="00AC0BE6">
      <w:pPr>
        <w:rPr>
          <w:rFonts w:ascii="Tahoma" w:hAnsi="Tahoma" w:cs="Tahoma"/>
          <w:sz w:val="22"/>
          <w:szCs w:val="22"/>
        </w:rPr>
      </w:pPr>
    </w:p>
    <w:p w14:paraId="09FF95D5" w14:textId="77777777" w:rsidR="00206021" w:rsidRPr="00E51A34" w:rsidRDefault="00206021" w:rsidP="00AC0BE6">
      <w:pPr>
        <w:rPr>
          <w:rFonts w:ascii="Tahoma" w:hAnsi="Tahoma" w:cs="Tahoma"/>
          <w:sz w:val="22"/>
          <w:szCs w:val="22"/>
        </w:rPr>
      </w:pPr>
    </w:p>
    <w:p w14:paraId="2D23B3CB" w14:textId="77777777" w:rsidR="00206021" w:rsidRPr="00E51A34" w:rsidRDefault="00206021" w:rsidP="00AC0BE6">
      <w:pPr>
        <w:rPr>
          <w:rFonts w:ascii="Tahoma" w:hAnsi="Tahoma" w:cs="Tahoma"/>
          <w:sz w:val="22"/>
          <w:szCs w:val="22"/>
        </w:rPr>
      </w:pPr>
    </w:p>
    <w:p w14:paraId="4DB53B0D" w14:textId="77777777" w:rsidR="00206021" w:rsidRPr="00E51A34" w:rsidRDefault="00206021" w:rsidP="00AC0BE6">
      <w:pPr>
        <w:rPr>
          <w:rFonts w:ascii="Tahoma" w:hAnsi="Tahoma" w:cs="Tahoma"/>
          <w:sz w:val="22"/>
          <w:szCs w:val="22"/>
        </w:rPr>
      </w:pPr>
    </w:p>
    <w:p w14:paraId="3CA7466D" w14:textId="77777777" w:rsidR="00206021" w:rsidRPr="00E51A34" w:rsidRDefault="00206021" w:rsidP="00AC0BE6">
      <w:pPr>
        <w:rPr>
          <w:rFonts w:ascii="Tahoma" w:hAnsi="Tahoma" w:cs="Tahoma"/>
          <w:sz w:val="22"/>
          <w:szCs w:val="22"/>
        </w:rPr>
      </w:pPr>
    </w:p>
    <w:p w14:paraId="7845A23B" w14:textId="77777777" w:rsidR="00206021" w:rsidRPr="00E51A34" w:rsidRDefault="00206021" w:rsidP="00AC0BE6">
      <w:pPr>
        <w:rPr>
          <w:rFonts w:ascii="Tahoma" w:hAnsi="Tahoma" w:cs="Tahoma"/>
          <w:sz w:val="22"/>
          <w:szCs w:val="22"/>
        </w:rPr>
      </w:pPr>
    </w:p>
    <w:p w14:paraId="226D9B16" w14:textId="77777777" w:rsidR="00206021" w:rsidRPr="00E51A34" w:rsidRDefault="00206021" w:rsidP="00AC0BE6">
      <w:pPr>
        <w:rPr>
          <w:rFonts w:ascii="Tahoma" w:hAnsi="Tahoma" w:cs="Tahoma"/>
          <w:sz w:val="22"/>
          <w:szCs w:val="22"/>
        </w:rPr>
      </w:pPr>
    </w:p>
    <w:p w14:paraId="61E352F6" w14:textId="77777777" w:rsidR="00206021" w:rsidRPr="00E51A34" w:rsidRDefault="00206021" w:rsidP="00AC0BE6">
      <w:pPr>
        <w:rPr>
          <w:rFonts w:ascii="Tahoma" w:hAnsi="Tahoma" w:cs="Tahoma"/>
          <w:sz w:val="22"/>
          <w:szCs w:val="22"/>
        </w:rPr>
      </w:pPr>
    </w:p>
    <w:p w14:paraId="68F29B81" w14:textId="77777777" w:rsidR="00206021" w:rsidRPr="00E51A34" w:rsidRDefault="00206021" w:rsidP="00AC0BE6">
      <w:pPr>
        <w:rPr>
          <w:rFonts w:ascii="Tahoma" w:hAnsi="Tahoma" w:cs="Tahoma"/>
          <w:sz w:val="22"/>
          <w:szCs w:val="22"/>
        </w:rPr>
      </w:pPr>
    </w:p>
    <w:p w14:paraId="3E449288" w14:textId="77777777" w:rsidR="00206021" w:rsidRPr="00E51A34" w:rsidRDefault="00206021" w:rsidP="00AC0BE6">
      <w:pPr>
        <w:rPr>
          <w:rFonts w:ascii="Tahoma" w:hAnsi="Tahoma" w:cs="Tahoma"/>
          <w:sz w:val="22"/>
          <w:szCs w:val="22"/>
        </w:rPr>
      </w:pPr>
    </w:p>
    <w:p w14:paraId="67B6501C" w14:textId="77777777" w:rsidR="00206021" w:rsidRPr="00E51A34" w:rsidRDefault="00206021" w:rsidP="00AC0BE6">
      <w:pPr>
        <w:rPr>
          <w:rFonts w:ascii="Tahoma" w:hAnsi="Tahoma" w:cs="Tahoma"/>
          <w:sz w:val="22"/>
          <w:szCs w:val="22"/>
        </w:rPr>
      </w:pPr>
    </w:p>
    <w:p w14:paraId="582C20CE" w14:textId="77777777" w:rsidR="00206021" w:rsidRPr="00E51A34" w:rsidRDefault="00206021" w:rsidP="00AC0BE6">
      <w:pPr>
        <w:rPr>
          <w:rFonts w:ascii="Tahoma" w:hAnsi="Tahoma" w:cs="Tahoma"/>
          <w:sz w:val="22"/>
          <w:szCs w:val="22"/>
        </w:rPr>
      </w:pPr>
    </w:p>
    <w:p w14:paraId="2FF3687C" w14:textId="77777777" w:rsidR="00206021" w:rsidRPr="00E51A34" w:rsidRDefault="00206021" w:rsidP="00AC0BE6">
      <w:pPr>
        <w:rPr>
          <w:rFonts w:ascii="Tahoma" w:hAnsi="Tahoma" w:cs="Tahoma"/>
          <w:sz w:val="22"/>
          <w:szCs w:val="22"/>
        </w:rPr>
      </w:pPr>
    </w:p>
    <w:p w14:paraId="27FC3B3C" w14:textId="77777777" w:rsidR="00206021" w:rsidRPr="00E51A34" w:rsidRDefault="00206021" w:rsidP="00AC0BE6">
      <w:pPr>
        <w:rPr>
          <w:rFonts w:ascii="Tahoma" w:hAnsi="Tahoma" w:cs="Tahoma"/>
          <w:sz w:val="22"/>
          <w:szCs w:val="22"/>
        </w:rPr>
      </w:pPr>
    </w:p>
    <w:p w14:paraId="12792CA4" w14:textId="77777777" w:rsidR="00206021" w:rsidRPr="00E51A34" w:rsidRDefault="00206021" w:rsidP="00AC0BE6">
      <w:pPr>
        <w:rPr>
          <w:rFonts w:ascii="Tahoma" w:hAnsi="Tahoma" w:cs="Tahoma"/>
          <w:sz w:val="22"/>
          <w:szCs w:val="22"/>
        </w:rPr>
      </w:pPr>
    </w:p>
    <w:p w14:paraId="4DB239C3" w14:textId="77777777" w:rsidR="00206021" w:rsidRPr="00E51A34" w:rsidRDefault="00206021" w:rsidP="00AC0BE6">
      <w:pPr>
        <w:rPr>
          <w:rFonts w:ascii="Tahoma" w:hAnsi="Tahoma" w:cs="Tahoma"/>
          <w:sz w:val="22"/>
          <w:szCs w:val="22"/>
        </w:rPr>
      </w:pPr>
    </w:p>
    <w:p w14:paraId="495ED1CB" w14:textId="77777777" w:rsidR="00206021" w:rsidRPr="00E51A34" w:rsidRDefault="00206021" w:rsidP="00AC0BE6">
      <w:pPr>
        <w:rPr>
          <w:rFonts w:ascii="Tahoma" w:hAnsi="Tahoma" w:cs="Tahoma"/>
          <w:sz w:val="22"/>
          <w:szCs w:val="22"/>
        </w:rPr>
      </w:pPr>
    </w:p>
    <w:p w14:paraId="55A33E6C" w14:textId="77777777" w:rsidR="00206021" w:rsidRPr="00E51A34" w:rsidRDefault="00206021" w:rsidP="00AC0BE6">
      <w:pPr>
        <w:rPr>
          <w:rFonts w:ascii="Tahoma" w:hAnsi="Tahoma" w:cs="Tahoma"/>
          <w:sz w:val="22"/>
          <w:szCs w:val="22"/>
        </w:rPr>
      </w:pPr>
    </w:p>
    <w:p w14:paraId="1C9F762A" w14:textId="7F6EA39E" w:rsidR="00206021" w:rsidRPr="00E51A34" w:rsidRDefault="00206021" w:rsidP="00F656EE">
      <w:pPr>
        <w:pStyle w:val="TOCHeading"/>
        <w:spacing w:before="0" w:line="240" w:lineRule="auto"/>
      </w:pPr>
    </w:p>
    <w:p w14:paraId="360D74AF" w14:textId="77777777" w:rsidR="00F656EE" w:rsidRPr="00E51A34" w:rsidRDefault="00F656EE" w:rsidP="00F656EE"/>
    <w:p w14:paraId="2C84F623" w14:textId="4B8D3674" w:rsidR="00C836D6" w:rsidRPr="00E51A34" w:rsidRDefault="0058079D" w:rsidP="00F67FFB">
      <w:pPr>
        <w:pStyle w:val="Heading1"/>
        <w:numPr>
          <w:ilvl w:val="0"/>
          <w:numId w:val="2"/>
        </w:numPr>
        <w:rPr>
          <w:rFonts w:ascii="Tahoma" w:hAnsi="Tahoma" w:cs="Tahoma"/>
          <w:sz w:val="22"/>
          <w:szCs w:val="22"/>
        </w:rPr>
      </w:pPr>
      <w:bookmarkStart w:id="0" w:name="_Toc472086907"/>
      <w:r w:rsidRPr="00E51A34">
        <w:rPr>
          <w:rFonts w:ascii="Tahoma" w:hAnsi="Tahoma" w:cs="Tahoma"/>
          <w:sz w:val="22"/>
          <w:szCs w:val="22"/>
        </w:rPr>
        <w:lastRenderedPageBreak/>
        <w:t>FUND RATIONALE, OBJECTIVES AND THEMES</w:t>
      </w:r>
      <w:bookmarkEnd w:id="0"/>
    </w:p>
    <w:p w14:paraId="698E8AD7" w14:textId="77777777" w:rsidR="0071562D" w:rsidRPr="00E51A34" w:rsidRDefault="0071562D" w:rsidP="00AC0BE6">
      <w:pPr>
        <w:rPr>
          <w:rFonts w:ascii="Tahoma" w:hAnsi="Tahoma" w:cs="Tahoma"/>
          <w:sz w:val="22"/>
          <w:szCs w:val="22"/>
        </w:rPr>
      </w:pPr>
    </w:p>
    <w:p w14:paraId="1567EF4A" w14:textId="04C70E07" w:rsidR="008D68D1" w:rsidRPr="00E51A34" w:rsidRDefault="007D4A9F" w:rsidP="008D68D1">
      <w:pPr>
        <w:rPr>
          <w:rFonts w:ascii="Tahoma" w:hAnsi="Tahoma" w:cs="Tahoma"/>
          <w:b/>
          <w:sz w:val="20"/>
          <w:szCs w:val="20"/>
        </w:rPr>
      </w:pPr>
      <w:r w:rsidRPr="00E51A34">
        <w:rPr>
          <w:rFonts w:ascii="Tahoma" w:hAnsi="Tahoma" w:cs="Tahoma"/>
          <w:b/>
          <w:sz w:val="20"/>
          <w:szCs w:val="20"/>
        </w:rPr>
        <w:t xml:space="preserve">The African Women's Development Fund </w:t>
      </w:r>
      <w:r w:rsidRPr="00E51A34">
        <w:rPr>
          <w:rFonts w:ascii="Tahoma" w:hAnsi="Tahoma" w:cs="Tahoma"/>
          <w:sz w:val="20"/>
          <w:szCs w:val="20"/>
        </w:rPr>
        <w:t xml:space="preserve">was established in 2000, as an Africa-wide philanthropic, grant making </w:t>
      </w:r>
      <w:r w:rsidR="000A51A2" w:rsidRPr="00E51A34">
        <w:rPr>
          <w:rFonts w:ascii="Tahoma" w:hAnsi="Tahoma" w:cs="Tahoma"/>
          <w:sz w:val="20"/>
          <w:szCs w:val="20"/>
        </w:rPr>
        <w:t>initiative to support the realis</w:t>
      </w:r>
      <w:r w:rsidRPr="00E51A34">
        <w:rPr>
          <w:rFonts w:ascii="Tahoma" w:hAnsi="Tahoma" w:cs="Tahoma"/>
          <w:sz w:val="20"/>
          <w:szCs w:val="20"/>
        </w:rPr>
        <w:t xml:space="preserve">ation and fulfilment of African women’s rights through funding of autonomous women’s organisations on the continent. AWDF </w:t>
      </w:r>
      <w:r w:rsidR="00524F3E" w:rsidRPr="00E51A34">
        <w:rPr>
          <w:rFonts w:ascii="Tahoma" w:hAnsi="Tahoma" w:cs="Tahoma"/>
          <w:sz w:val="20"/>
          <w:szCs w:val="20"/>
        </w:rPr>
        <w:t xml:space="preserve">works towards the creation of healthy, just and inclusive societies framed by equality, peace and respect for women's rights. </w:t>
      </w:r>
      <w:r w:rsidR="008D68D1" w:rsidRPr="00E51A34">
        <w:rPr>
          <w:rFonts w:ascii="Tahoma" w:hAnsi="Tahoma" w:cs="Tahoma"/>
          <w:sz w:val="20"/>
          <w:szCs w:val="20"/>
        </w:rPr>
        <w:t>Since its founding,</w:t>
      </w:r>
      <w:r w:rsidR="00A524BC" w:rsidRPr="00E51A34">
        <w:rPr>
          <w:rFonts w:ascii="Tahoma" w:hAnsi="Tahoma" w:cs="Tahoma"/>
          <w:sz w:val="20"/>
          <w:szCs w:val="20"/>
        </w:rPr>
        <w:t xml:space="preserve"> AWDF has awarded more than US$</w:t>
      </w:r>
      <w:r w:rsidR="00AD4FCC" w:rsidRPr="00E51A34">
        <w:rPr>
          <w:rFonts w:ascii="Tahoma" w:hAnsi="Tahoma" w:cs="Tahoma"/>
          <w:sz w:val="20"/>
          <w:szCs w:val="20"/>
        </w:rPr>
        <w:t>4</w:t>
      </w:r>
      <w:r w:rsidR="00A524BC" w:rsidRPr="00E51A34">
        <w:rPr>
          <w:rFonts w:ascii="Tahoma" w:hAnsi="Tahoma" w:cs="Tahoma"/>
          <w:sz w:val="20"/>
          <w:szCs w:val="20"/>
        </w:rPr>
        <w:t>0 million</w:t>
      </w:r>
      <w:r w:rsidR="008D68D1" w:rsidRPr="00E51A34">
        <w:rPr>
          <w:rFonts w:ascii="Tahoma" w:hAnsi="Tahoma" w:cs="Tahoma"/>
          <w:sz w:val="20"/>
          <w:szCs w:val="20"/>
        </w:rPr>
        <w:t xml:space="preserve"> in grants. </w:t>
      </w:r>
    </w:p>
    <w:p w14:paraId="5B3E1ADB" w14:textId="77777777" w:rsidR="00CE6534" w:rsidRPr="00E51A34" w:rsidRDefault="00CE6534" w:rsidP="003C4ACF">
      <w:pPr>
        <w:rPr>
          <w:rFonts w:ascii="Tahoma" w:hAnsi="Tahoma" w:cs="Tahoma"/>
          <w:sz w:val="20"/>
          <w:szCs w:val="20"/>
        </w:rPr>
      </w:pPr>
    </w:p>
    <w:p w14:paraId="2521AA70" w14:textId="484D5EE4" w:rsidR="00524F3E" w:rsidRPr="00E51A34" w:rsidRDefault="00524F3E" w:rsidP="003C4ACF">
      <w:pPr>
        <w:rPr>
          <w:rFonts w:ascii="Tahoma" w:hAnsi="Tahoma" w:cs="Tahoma"/>
          <w:sz w:val="20"/>
          <w:szCs w:val="20"/>
        </w:rPr>
      </w:pPr>
      <w:r w:rsidRPr="00E51A34">
        <w:rPr>
          <w:rFonts w:ascii="Tahoma" w:hAnsi="Tahoma" w:cs="Tahoma"/>
          <w:sz w:val="20"/>
          <w:szCs w:val="20"/>
        </w:rPr>
        <w:t>Looking at the history of change, we know that women's organisations, and the movements that they are part of, are central actors in crafting this just world.  AWDF invests in women's rights organisations as leaders in advancing women's rights, and as a core force for demanding accountability and respect, protection and fulfilment of rights for all women from duty bearers at all levels. We know that women's organisations and movements not only keep gender equality on the agenda but also push for laws and policies to be comprehensive, progressive and inclusive of the concerns of diverse groups of women.</w:t>
      </w:r>
    </w:p>
    <w:p w14:paraId="45053E5C" w14:textId="77777777" w:rsidR="0012154F" w:rsidRPr="00E51A34" w:rsidRDefault="0012154F" w:rsidP="00AC0BE6">
      <w:pPr>
        <w:rPr>
          <w:rFonts w:ascii="Tahoma" w:hAnsi="Tahoma" w:cs="Tahoma"/>
          <w:sz w:val="20"/>
          <w:szCs w:val="20"/>
        </w:rPr>
      </w:pPr>
    </w:p>
    <w:p w14:paraId="6CD86147" w14:textId="7B143679" w:rsidR="00AD4FCC" w:rsidRPr="00E51A34" w:rsidRDefault="00AD4FCC" w:rsidP="00AD4FCC">
      <w:pPr>
        <w:pBdr>
          <w:top w:val="nil"/>
          <w:left w:val="nil"/>
          <w:bottom w:val="nil"/>
          <w:right w:val="nil"/>
          <w:between w:val="nil"/>
        </w:pBdr>
        <w:spacing w:after="160"/>
        <w:rPr>
          <w:rFonts w:ascii="Tahoma" w:eastAsia="Tahoma" w:hAnsi="Tahoma" w:cs="Tahoma"/>
          <w:color w:val="666666"/>
          <w:sz w:val="20"/>
          <w:szCs w:val="20"/>
          <w:lang w:eastAsia="en-GB"/>
        </w:rPr>
      </w:pPr>
      <w:r w:rsidRPr="00E51A34">
        <w:rPr>
          <w:rFonts w:ascii="Tahoma" w:eastAsia="Tahoma" w:hAnsi="Tahoma" w:cs="Tahoma"/>
          <w:color w:val="000000"/>
          <w:sz w:val="20"/>
          <w:szCs w:val="20"/>
          <w:lang w:eastAsia="en-GB"/>
        </w:rPr>
        <w:t xml:space="preserve">AWDF is one of four Women’s Funds from the Global South managing the </w:t>
      </w:r>
      <w:r w:rsidRPr="00E51A34">
        <w:rPr>
          <w:rFonts w:ascii="Tahoma" w:eastAsia="Tahoma" w:hAnsi="Tahoma" w:cs="Tahoma"/>
          <w:b/>
          <w:color w:val="000000"/>
          <w:sz w:val="20"/>
          <w:szCs w:val="20"/>
          <w:lang w:eastAsia="en-GB"/>
        </w:rPr>
        <w:t>Leading from the South</w:t>
      </w:r>
      <w:r w:rsidRPr="00E51A34">
        <w:rPr>
          <w:rFonts w:ascii="Tahoma" w:eastAsia="Tahoma" w:hAnsi="Tahoma" w:cs="Tahoma"/>
          <w:color w:val="000000"/>
          <w:sz w:val="20"/>
          <w:szCs w:val="20"/>
          <w:lang w:eastAsia="en-GB"/>
        </w:rPr>
        <w:t xml:space="preserve"> </w:t>
      </w:r>
      <w:r w:rsidRPr="00E51A34">
        <w:rPr>
          <w:rFonts w:ascii="Tahoma" w:eastAsia="Tahoma" w:hAnsi="Tahoma" w:cs="Tahoma"/>
          <w:b/>
          <w:color w:val="000000"/>
          <w:sz w:val="20"/>
          <w:szCs w:val="20"/>
          <w:lang w:eastAsia="en-GB"/>
        </w:rPr>
        <w:t>Fund</w:t>
      </w:r>
      <w:r w:rsidRPr="00E51A34">
        <w:rPr>
          <w:rFonts w:ascii="Tahoma" w:eastAsia="Tahoma" w:hAnsi="Tahoma" w:cs="Tahoma"/>
          <w:color w:val="000000"/>
          <w:sz w:val="20"/>
          <w:szCs w:val="20"/>
          <w:lang w:eastAsia="en-GB"/>
        </w:rPr>
        <w:t xml:space="preserve">- a funding initiative created to resource women’s rights activism in the global South over 4 years, initiated by the Dutch Ministry of Foreign Affairs. It supports activism devised, implemented, and led by women’s rights organisations in the global South. The LFS fund is being implemented by four women’s funds: Three are Regional Funds: </w:t>
      </w:r>
      <w:hyperlink r:id="rId8">
        <w:r w:rsidRPr="00E51A34">
          <w:rPr>
            <w:rFonts w:ascii="Tahoma" w:eastAsia="Tahoma" w:hAnsi="Tahoma" w:cs="Tahoma"/>
            <w:color w:val="337AB7"/>
            <w:sz w:val="20"/>
            <w:szCs w:val="20"/>
            <w:u w:val="single"/>
            <w:lang w:eastAsia="en-GB"/>
          </w:rPr>
          <w:t>African Women’s Development Fund</w:t>
        </w:r>
      </w:hyperlink>
      <w:r w:rsidRPr="00E51A34">
        <w:rPr>
          <w:rFonts w:ascii="Tahoma" w:eastAsia="Tahoma" w:hAnsi="Tahoma" w:cs="Tahoma"/>
          <w:color w:val="666666"/>
          <w:sz w:val="20"/>
          <w:szCs w:val="20"/>
          <w:lang w:eastAsia="en-GB"/>
        </w:rPr>
        <w:t xml:space="preserve"> (</w:t>
      </w:r>
      <w:r w:rsidRPr="00E51A34">
        <w:rPr>
          <w:rFonts w:ascii="Tahoma" w:eastAsia="Tahoma" w:hAnsi="Tahoma" w:cs="Tahoma"/>
          <w:color w:val="000000"/>
          <w:sz w:val="20"/>
          <w:szCs w:val="20"/>
          <w:lang w:eastAsia="en-GB"/>
        </w:rPr>
        <w:t>Africa and the Middle East Region),</w:t>
      </w:r>
      <w:r w:rsidRPr="00E51A34">
        <w:rPr>
          <w:rFonts w:ascii="Tahoma" w:eastAsia="Tahoma" w:hAnsi="Tahoma" w:cs="Tahoma"/>
          <w:color w:val="666666"/>
          <w:sz w:val="20"/>
          <w:szCs w:val="20"/>
          <w:lang w:eastAsia="en-GB"/>
        </w:rPr>
        <w:t xml:space="preserve"> </w:t>
      </w:r>
      <w:hyperlink r:id="rId9">
        <w:r w:rsidRPr="00E51A34">
          <w:rPr>
            <w:rFonts w:ascii="Tahoma" w:eastAsia="Tahoma" w:hAnsi="Tahoma" w:cs="Tahoma"/>
            <w:color w:val="337AB7"/>
            <w:sz w:val="20"/>
            <w:szCs w:val="20"/>
            <w:u w:val="single"/>
            <w:lang w:eastAsia="en-GB"/>
          </w:rPr>
          <w:t>Fondo Mujeres del Sur</w:t>
        </w:r>
      </w:hyperlink>
      <w:r w:rsidRPr="00E51A34">
        <w:rPr>
          <w:rFonts w:ascii="Tahoma" w:eastAsia="Tahoma" w:hAnsi="Tahoma" w:cs="Tahoma"/>
          <w:color w:val="666666"/>
          <w:sz w:val="20"/>
          <w:szCs w:val="20"/>
          <w:lang w:eastAsia="en-GB"/>
        </w:rPr>
        <w:t xml:space="preserve"> </w:t>
      </w:r>
      <w:r w:rsidRPr="00E51A34">
        <w:rPr>
          <w:rFonts w:ascii="Tahoma" w:eastAsia="Tahoma" w:hAnsi="Tahoma" w:cs="Tahoma"/>
          <w:color w:val="000000"/>
          <w:sz w:val="20"/>
          <w:szCs w:val="20"/>
          <w:lang w:eastAsia="en-GB"/>
        </w:rPr>
        <w:t xml:space="preserve">(Latin America and the Caribbean) and </w:t>
      </w:r>
      <w:hyperlink r:id="rId10" w:history="1">
        <w:r w:rsidRPr="00E51A34">
          <w:rPr>
            <w:rStyle w:val="Hyperlink"/>
            <w:rFonts w:ascii="Tahoma" w:eastAsia="Tahoma" w:hAnsi="Tahoma" w:cs="Tahoma"/>
            <w:sz w:val="20"/>
            <w:szCs w:val="20"/>
            <w:lang w:eastAsia="en-GB"/>
          </w:rPr>
          <w:t>Women</w:t>
        </w:r>
        <w:r w:rsidR="00CD45CA" w:rsidRPr="00E51A34">
          <w:rPr>
            <w:rStyle w:val="Hyperlink"/>
            <w:rFonts w:ascii="Tahoma" w:eastAsia="Tahoma" w:hAnsi="Tahoma" w:cs="Tahoma"/>
            <w:sz w:val="20"/>
            <w:szCs w:val="20"/>
            <w:lang w:eastAsia="en-GB"/>
          </w:rPr>
          <w:t>’s</w:t>
        </w:r>
        <w:r w:rsidRPr="00E51A34">
          <w:rPr>
            <w:rStyle w:val="Hyperlink"/>
            <w:rFonts w:ascii="Tahoma" w:eastAsia="Tahoma" w:hAnsi="Tahoma" w:cs="Tahoma"/>
            <w:sz w:val="20"/>
            <w:szCs w:val="20"/>
            <w:lang w:eastAsia="en-GB"/>
          </w:rPr>
          <w:t xml:space="preserve"> Fund</w:t>
        </w:r>
        <w:r w:rsidR="00CD45CA" w:rsidRPr="00E51A34">
          <w:rPr>
            <w:rStyle w:val="Hyperlink"/>
            <w:rFonts w:ascii="Tahoma" w:eastAsia="Tahoma" w:hAnsi="Tahoma" w:cs="Tahoma"/>
            <w:sz w:val="20"/>
            <w:szCs w:val="20"/>
            <w:lang w:eastAsia="en-GB"/>
          </w:rPr>
          <w:t xml:space="preserve"> Asia</w:t>
        </w:r>
      </w:hyperlink>
      <w:r w:rsidRPr="00E51A34">
        <w:rPr>
          <w:rFonts w:ascii="Tahoma" w:eastAsia="Tahoma" w:hAnsi="Tahoma" w:cs="Tahoma"/>
          <w:color w:val="000000"/>
          <w:sz w:val="20"/>
          <w:szCs w:val="20"/>
          <w:lang w:eastAsia="en-GB"/>
        </w:rPr>
        <w:t xml:space="preserve"> (Asia); and one global fund </w:t>
      </w:r>
      <w:hyperlink r:id="rId11">
        <w:r w:rsidRPr="00E51A34">
          <w:rPr>
            <w:rFonts w:ascii="Tahoma" w:eastAsia="Tahoma" w:hAnsi="Tahoma" w:cs="Tahoma"/>
            <w:color w:val="337AB7"/>
            <w:sz w:val="20"/>
            <w:szCs w:val="20"/>
            <w:u w:val="single"/>
            <w:lang w:eastAsia="en-GB"/>
          </w:rPr>
          <w:t>AYNI – the Indigenous Women’s Fund</w:t>
        </w:r>
      </w:hyperlink>
      <w:r w:rsidRPr="00E51A34">
        <w:rPr>
          <w:rFonts w:ascii="Tahoma" w:eastAsia="Tahoma" w:hAnsi="Tahoma" w:cs="Tahoma"/>
          <w:color w:val="666666"/>
          <w:sz w:val="20"/>
          <w:szCs w:val="20"/>
          <w:lang w:eastAsia="en-GB"/>
        </w:rPr>
        <w:t>.</w:t>
      </w:r>
    </w:p>
    <w:p w14:paraId="4418D83B" w14:textId="77777777" w:rsidR="00AD4FCC" w:rsidRPr="00E51A34" w:rsidRDefault="00AD4FCC" w:rsidP="00AD4FCC">
      <w:pPr>
        <w:pBdr>
          <w:top w:val="nil"/>
          <w:left w:val="nil"/>
          <w:bottom w:val="nil"/>
          <w:right w:val="nil"/>
          <w:between w:val="nil"/>
        </w:pBdr>
        <w:spacing w:after="160"/>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 xml:space="preserve">AWDF is mandated to fund in all 54 African countries. Under the </w:t>
      </w:r>
      <w:r w:rsidRPr="00E51A34">
        <w:rPr>
          <w:rFonts w:ascii="Tahoma" w:eastAsia="Tahoma" w:hAnsi="Tahoma" w:cs="Tahoma"/>
          <w:i/>
          <w:color w:val="000000"/>
          <w:sz w:val="20"/>
          <w:szCs w:val="20"/>
          <w:lang w:eastAsia="en-GB"/>
        </w:rPr>
        <w:t xml:space="preserve">Leading from the South initiative </w:t>
      </w:r>
      <w:r w:rsidRPr="00E51A34">
        <w:rPr>
          <w:rFonts w:ascii="Tahoma" w:eastAsia="Tahoma" w:hAnsi="Tahoma" w:cs="Tahoma"/>
          <w:color w:val="000000"/>
          <w:sz w:val="20"/>
          <w:szCs w:val="20"/>
          <w:lang w:eastAsia="en-GB"/>
        </w:rPr>
        <w:t xml:space="preserve">AWDF has expanded its grantmaking mandate to include selected countries in the Middle East (see below for list of eligible countries). </w:t>
      </w:r>
    </w:p>
    <w:p w14:paraId="5D58A286" w14:textId="2D232DD4" w:rsidR="00006799" w:rsidRPr="00E51A34" w:rsidRDefault="000F4B90" w:rsidP="00006799">
      <w:p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In the first two years of</w:t>
      </w:r>
      <w:r w:rsidR="00675226" w:rsidRPr="00E51A34">
        <w:rPr>
          <w:rFonts w:ascii="Tahoma" w:eastAsia="Tahoma" w:hAnsi="Tahoma" w:cs="Tahoma"/>
          <w:sz w:val="20"/>
          <w:szCs w:val="20"/>
        </w:rPr>
        <w:t xml:space="preserve"> the Leading from the South initiative, AWDF awarded grants to 55 organisations. </w:t>
      </w:r>
      <w:r w:rsidR="00006799" w:rsidRPr="00E51A34">
        <w:rPr>
          <w:rFonts w:ascii="Tahoma" w:eastAsia="Tahoma" w:hAnsi="Tahoma" w:cs="Tahoma"/>
          <w:sz w:val="20"/>
          <w:szCs w:val="20"/>
        </w:rPr>
        <w:t xml:space="preserve">For further insight into our grantmaking, </w:t>
      </w:r>
      <w:r w:rsidR="00006799" w:rsidRPr="00E51A34">
        <w:rPr>
          <w:rFonts w:ascii="Tahoma" w:eastAsia="Tahoma" w:hAnsi="Tahoma" w:cs="Tahoma"/>
          <w:b/>
          <w:i/>
          <w:sz w:val="20"/>
          <w:szCs w:val="20"/>
        </w:rPr>
        <w:t xml:space="preserve">please watch our LFS video </w:t>
      </w:r>
      <w:hyperlink r:id="rId12" w:history="1">
        <w:r w:rsidR="00006799" w:rsidRPr="00E51A34">
          <w:rPr>
            <w:rStyle w:val="Hyperlink"/>
            <w:rFonts w:ascii="Tahoma" w:eastAsia="Tahoma" w:hAnsi="Tahoma" w:cs="Tahoma"/>
            <w:b/>
            <w:i/>
            <w:sz w:val="20"/>
            <w:szCs w:val="20"/>
          </w:rPr>
          <w:t>here</w:t>
        </w:r>
      </w:hyperlink>
      <w:r w:rsidR="00006799" w:rsidRPr="00E51A34">
        <w:rPr>
          <w:rFonts w:ascii="Tahoma" w:eastAsia="Tahoma" w:hAnsi="Tahoma" w:cs="Tahoma"/>
          <w:sz w:val="20"/>
          <w:szCs w:val="20"/>
        </w:rPr>
        <w:t>.</w:t>
      </w:r>
    </w:p>
    <w:p w14:paraId="3B68001E" w14:textId="2D4F7C19" w:rsidR="00675226" w:rsidRPr="00E51A34" w:rsidRDefault="00675226" w:rsidP="00675226">
      <w:pPr>
        <w:pBdr>
          <w:left w:val="nil"/>
        </w:pBdr>
        <w:rPr>
          <w:rFonts w:ascii="Tahoma" w:eastAsia="Tahoma" w:hAnsi="Tahoma" w:cs="Tahoma"/>
          <w:sz w:val="20"/>
          <w:szCs w:val="20"/>
        </w:rPr>
      </w:pPr>
    </w:p>
    <w:p w14:paraId="3B8C356B" w14:textId="7CB5888A" w:rsidR="00942CFF" w:rsidRPr="00E51A34" w:rsidRDefault="007D4A9F" w:rsidP="00AC0BE6">
      <w:pPr>
        <w:rPr>
          <w:rFonts w:ascii="Tahoma" w:hAnsi="Tahoma" w:cs="Tahoma"/>
          <w:b/>
          <w:sz w:val="20"/>
          <w:szCs w:val="20"/>
        </w:rPr>
      </w:pPr>
      <w:r w:rsidRPr="00E51A34">
        <w:rPr>
          <w:rFonts w:ascii="Tahoma" w:hAnsi="Tahoma" w:cs="Tahoma"/>
          <w:b/>
          <w:sz w:val="20"/>
          <w:szCs w:val="20"/>
        </w:rPr>
        <w:t xml:space="preserve">Through Leading from the South, AWDF will award </w:t>
      </w:r>
      <w:r w:rsidR="00942CFF" w:rsidRPr="00E51A34">
        <w:rPr>
          <w:rFonts w:ascii="Tahoma" w:hAnsi="Tahoma" w:cs="Tahoma"/>
          <w:b/>
          <w:sz w:val="20"/>
          <w:szCs w:val="20"/>
        </w:rPr>
        <w:t xml:space="preserve">grants </w:t>
      </w:r>
      <w:r w:rsidRPr="00E51A34">
        <w:rPr>
          <w:rFonts w:ascii="Tahoma" w:hAnsi="Tahoma" w:cs="Tahoma"/>
          <w:b/>
          <w:sz w:val="20"/>
          <w:szCs w:val="20"/>
        </w:rPr>
        <w:t>that advance the following three impact areas:</w:t>
      </w:r>
      <w:r w:rsidR="00F439E5" w:rsidRPr="00E51A34">
        <w:rPr>
          <w:rFonts w:ascii="Tahoma" w:hAnsi="Tahoma" w:cs="Tahoma"/>
          <w:b/>
          <w:sz w:val="20"/>
          <w:szCs w:val="20"/>
        </w:rPr>
        <w:t xml:space="preserve"> </w:t>
      </w:r>
    </w:p>
    <w:p w14:paraId="44432F03" w14:textId="77777777" w:rsidR="009F7787" w:rsidRPr="00E51A34" w:rsidRDefault="009F7787" w:rsidP="00F67FFB">
      <w:pPr>
        <w:pStyle w:val="ListParagraph"/>
        <w:numPr>
          <w:ilvl w:val="0"/>
          <w:numId w:val="1"/>
        </w:numPr>
        <w:spacing w:before="100" w:beforeAutospacing="1" w:after="100" w:afterAutospacing="1"/>
        <w:rPr>
          <w:rFonts w:ascii="Tahoma" w:hAnsi="Tahoma" w:cs="Tahoma"/>
          <w:sz w:val="20"/>
          <w:szCs w:val="20"/>
        </w:rPr>
      </w:pPr>
      <w:bookmarkStart w:id="1" w:name="UNIQUE_ID_SafeHtmlFilter_UNIQUE_ID_SafeH"/>
      <w:bookmarkEnd w:id="1"/>
      <w:r w:rsidRPr="00E51A34">
        <w:rPr>
          <w:rFonts w:ascii="Tahoma" w:hAnsi="Tahoma" w:cs="Tahoma"/>
          <w:sz w:val="20"/>
          <w:szCs w:val="20"/>
        </w:rPr>
        <w:t>Eliminate violence against women and girls &amp; sustain respect for women’s bodily integrity and autonomy</w:t>
      </w:r>
    </w:p>
    <w:p w14:paraId="606F65D9" w14:textId="77777777" w:rsidR="009F7787" w:rsidRPr="00E51A34" w:rsidRDefault="009F7787" w:rsidP="00F67FFB">
      <w:pPr>
        <w:pStyle w:val="ListParagraph"/>
        <w:numPr>
          <w:ilvl w:val="0"/>
          <w:numId w:val="1"/>
        </w:numPr>
        <w:spacing w:after="160" w:line="259" w:lineRule="auto"/>
        <w:rPr>
          <w:rFonts w:ascii="Tahoma" w:hAnsi="Tahoma" w:cs="Tahoma"/>
          <w:sz w:val="20"/>
          <w:szCs w:val="20"/>
        </w:rPr>
      </w:pPr>
      <w:r w:rsidRPr="00E51A34">
        <w:rPr>
          <w:rFonts w:ascii="Tahoma" w:hAnsi="Tahoma" w:cs="Tahoma"/>
          <w:sz w:val="20"/>
          <w:szCs w:val="20"/>
        </w:rPr>
        <w:t>Protect full economic rights and justice for women</w:t>
      </w:r>
    </w:p>
    <w:p w14:paraId="2CA314EB" w14:textId="77777777" w:rsidR="009F7787" w:rsidRPr="00E51A34" w:rsidRDefault="009F7787" w:rsidP="00F67FFB">
      <w:pPr>
        <w:pStyle w:val="ListParagraph"/>
        <w:numPr>
          <w:ilvl w:val="0"/>
          <w:numId w:val="1"/>
        </w:numPr>
        <w:spacing w:before="100" w:beforeAutospacing="1" w:after="100" w:afterAutospacing="1"/>
        <w:rPr>
          <w:rFonts w:ascii="Tahoma" w:eastAsia="Times New Roman" w:hAnsi="Tahoma" w:cs="Tahoma"/>
          <w:sz w:val="20"/>
          <w:szCs w:val="20"/>
        </w:rPr>
      </w:pPr>
      <w:r w:rsidRPr="00E51A34">
        <w:rPr>
          <w:rFonts w:ascii="Tahoma" w:hAnsi="Tahoma" w:cs="Tahoma"/>
          <w:sz w:val="20"/>
          <w:szCs w:val="20"/>
        </w:rPr>
        <w:t>Expand democratic space; sustain inclusive governance and equal political participation of women</w:t>
      </w:r>
      <w:r w:rsidRPr="00E51A34">
        <w:rPr>
          <w:rFonts w:ascii="Tahoma" w:eastAsia="Times New Roman" w:hAnsi="Tahoma" w:cs="Tahoma"/>
          <w:bCs/>
          <w:sz w:val="20"/>
          <w:szCs w:val="20"/>
        </w:rPr>
        <w:t> </w:t>
      </w:r>
    </w:p>
    <w:p w14:paraId="175F68DC" w14:textId="0B637C71" w:rsidR="0058079D" w:rsidRPr="00E51A34" w:rsidRDefault="0058079D" w:rsidP="003C4ACF">
      <w:pPr>
        <w:rPr>
          <w:rFonts w:ascii="Tahoma" w:hAnsi="Tahoma" w:cs="Tahoma"/>
          <w:sz w:val="20"/>
          <w:szCs w:val="20"/>
        </w:rPr>
      </w:pPr>
      <w:r w:rsidRPr="00E51A34">
        <w:rPr>
          <w:rFonts w:ascii="Tahoma" w:hAnsi="Tahoma" w:cs="Tahoma"/>
          <w:sz w:val="20"/>
          <w:szCs w:val="20"/>
        </w:rPr>
        <w:t xml:space="preserve">These three impact level goals relate directly to </w:t>
      </w:r>
      <w:hyperlink r:id="rId13" w:history="1">
        <w:r w:rsidRPr="00E51A34">
          <w:rPr>
            <w:rStyle w:val="Hyperlink"/>
            <w:rFonts w:ascii="Tahoma" w:hAnsi="Tahoma" w:cs="Tahoma"/>
            <w:sz w:val="20"/>
            <w:szCs w:val="20"/>
          </w:rPr>
          <w:t>Sustainable Development Goal 5</w:t>
        </w:r>
      </w:hyperlink>
      <w:r w:rsidRPr="00E51A34">
        <w:rPr>
          <w:rFonts w:ascii="Tahoma" w:hAnsi="Tahoma" w:cs="Tahoma"/>
          <w:sz w:val="20"/>
          <w:szCs w:val="20"/>
        </w:rPr>
        <w:t xml:space="preserve"> objectives of working towards gender equality through empowering women and girls.</w:t>
      </w:r>
    </w:p>
    <w:p w14:paraId="02A9A324" w14:textId="77777777" w:rsidR="0058079D" w:rsidRPr="00E51A34" w:rsidRDefault="0058079D" w:rsidP="0058079D">
      <w:pPr>
        <w:ind w:left="360"/>
        <w:rPr>
          <w:rFonts w:ascii="Tahoma" w:hAnsi="Tahoma" w:cs="Tahoma"/>
          <w:sz w:val="20"/>
          <w:szCs w:val="20"/>
        </w:rPr>
      </w:pPr>
    </w:p>
    <w:p w14:paraId="703C6B8E" w14:textId="77777777" w:rsidR="00675226" w:rsidRPr="00E51A34" w:rsidRDefault="00675226" w:rsidP="00675226">
      <w:pPr>
        <w:rPr>
          <w:rFonts w:ascii="Tahoma" w:eastAsia="Tahoma" w:hAnsi="Tahoma" w:cs="Tahoma"/>
          <w:sz w:val="20"/>
          <w:szCs w:val="20"/>
        </w:rPr>
      </w:pPr>
      <w:r w:rsidRPr="00E51A34">
        <w:rPr>
          <w:rFonts w:ascii="Tahoma" w:eastAsia="Tahoma" w:hAnsi="Tahoma" w:cs="Tahoma"/>
          <w:b/>
          <w:sz w:val="20"/>
          <w:szCs w:val="20"/>
        </w:rPr>
        <w:t xml:space="preserve">Within the objectives above, priority will be given to groups and organisations that seek to achieve the following: </w:t>
      </w:r>
    </w:p>
    <w:p w14:paraId="58F72C42" w14:textId="77777777" w:rsidR="00675226" w:rsidRPr="00E51A34" w:rsidRDefault="00675226" w:rsidP="00675226">
      <w:pPr>
        <w:rPr>
          <w:rFonts w:ascii="Tahoma" w:eastAsia="Tahoma" w:hAnsi="Tahoma" w:cs="Tahoma"/>
          <w:color w:val="92278F"/>
          <w:sz w:val="20"/>
          <w:szCs w:val="20"/>
        </w:rPr>
      </w:pPr>
      <w:r w:rsidRPr="00E51A34">
        <w:rPr>
          <w:rFonts w:ascii="Tahoma" w:eastAsia="Tahoma" w:hAnsi="Tahoma" w:cs="Tahoma"/>
          <w:color w:val="92278F"/>
          <w:sz w:val="20"/>
          <w:szCs w:val="20"/>
        </w:rPr>
        <w:t>1. Eliminate violence against women and girls &amp; sustain respect for women’s bodily integrity and autonomy</w:t>
      </w:r>
    </w:p>
    <w:p w14:paraId="1D69BB9E"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Build women’s knowledge and agency around their right to bodily integrity, autonomy and freedom from violence </w:t>
      </w:r>
    </w:p>
    <w:p w14:paraId="7C4F557E"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Increase public support for ending violence against women in all forms </w:t>
      </w:r>
    </w:p>
    <w:p w14:paraId="0A8FAC5A"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Facilitate the passage and implementation of laws and policies that will help prevent and respond to different forms of VAW </w:t>
      </w:r>
    </w:p>
    <w:p w14:paraId="44D3A9A0"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Strengthen the evidence base around needs, methods and effective approaches </w:t>
      </w:r>
    </w:p>
    <w:p w14:paraId="071F2A0F" w14:textId="77777777" w:rsidR="00675226" w:rsidRPr="00E51A34" w:rsidRDefault="00675226" w:rsidP="00675226">
      <w:pPr>
        <w:rPr>
          <w:rFonts w:ascii="Tahoma" w:eastAsia="Tahoma" w:hAnsi="Tahoma" w:cs="Tahoma"/>
          <w:sz w:val="20"/>
          <w:szCs w:val="20"/>
        </w:rPr>
      </w:pPr>
    </w:p>
    <w:p w14:paraId="519D2723" w14:textId="77777777" w:rsidR="00675226" w:rsidRPr="00E51A34" w:rsidRDefault="00675226" w:rsidP="00675226">
      <w:pPr>
        <w:rPr>
          <w:rFonts w:ascii="Tahoma" w:eastAsia="Tahoma" w:hAnsi="Tahoma" w:cs="Tahoma"/>
          <w:color w:val="92278F"/>
          <w:sz w:val="20"/>
          <w:szCs w:val="20"/>
        </w:rPr>
      </w:pPr>
      <w:r w:rsidRPr="00E51A34">
        <w:rPr>
          <w:rFonts w:ascii="Tahoma" w:eastAsia="Tahoma" w:hAnsi="Tahoma" w:cs="Tahoma"/>
          <w:color w:val="92278F"/>
          <w:sz w:val="20"/>
          <w:szCs w:val="20"/>
        </w:rPr>
        <w:t>2. Protect full economic rights and justice for women</w:t>
      </w:r>
    </w:p>
    <w:p w14:paraId="14F35192" w14:textId="77777777" w:rsidR="00675226" w:rsidRPr="00E51A34" w:rsidRDefault="00675226" w:rsidP="00675226">
      <w:pPr>
        <w:rPr>
          <w:rFonts w:ascii="Tahoma" w:eastAsia="Tahoma" w:hAnsi="Tahoma" w:cs="Tahoma"/>
          <w:sz w:val="20"/>
          <w:szCs w:val="20"/>
        </w:rPr>
      </w:pPr>
    </w:p>
    <w:p w14:paraId="558CF813"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Promote women’s labour and economic rights </w:t>
      </w:r>
    </w:p>
    <w:p w14:paraId="1C15C6EC"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Support women’s organising in formal and informal economies </w:t>
      </w:r>
    </w:p>
    <w:p w14:paraId="0A7D134B"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Build knowledge and support among key stakeholders and influencers for the recognition of women’s economic contributions and rights </w:t>
      </w:r>
    </w:p>
    <w:p w14:paraId="7B59E9A0"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Facilitate the passage of better policies and laws to protect women’s economic rights such as decent work, food security and land and property rights </w:t>
      </w:r>
    </w:p>
    <w:p w14:paraId="4364A6F8" w14:textId="77777777" w:rsidR="00675226" w:rsidRPr="00E51A34" w:rsidRDefault="00675226" w:rsidP="00675226">
      <w:pPr>
        <w:rPr>
          <w:rFonts w:ascii="Tahoma" w:eastAsia="Tahoma" w:hAnsi="Tahoma" w:cs="Tahoma"/>
          <w:sz w:val="20"/>
          <w:szCs w:val="20"/>
        </w:rPr>
      </w:pPr>
    </w:p>
    <w:p w14:paraId="07665E13" w14:textId="77777777" w:rsidR="00675226" w:rsidRPr="00E51A34" w:rsidRDefault="00675226" w:rsidP="00675226">
      <w:pPr>
        <w:rPr>
          <w:rFonts w:ascii="Tahoma" w:eastAsia="Tahoma" w:hAnsi="Tahoma" w:cs="Tahoma"/>
          <w:color w:val="92278F"/>
          <w:sz w:val="20"/>
          <w:szCs w:val="20"/>
        </w:rPr>
      </w:pPr>
      <w:r w:rsidRPr="00E51A34">
        <w:rPr>
          <w:rFonts w:ascii="Tahoma" w:eastAsia="Tahoma" w:hAnsi="Tahoma" w:cs="Tahoma"/>
          <w:color w:val="92278F"/>
          <w:sz w:val="20"/>
          <w:szCs w:val="20"/>
        </w:rPr>
        <w:t>3. Expand democratic space; sustain inclusive governance and equal political participation of women</w:t>
      </w:r>
    </w:p>
    <w:p w14:paraId="7D33BA8B" w14:textId="77777777" w:rsidR="00675226" w:rsidRPr="00E51A34" w:rsidRDefault="00675226" w:rsidP="00675226">
      <w:pPr>
        <w:rPr>
          <w:rFonts w:ascii="Tahoma" w:eastAsia="Tahoma" w:hAnsi="Tahoma" w:cs="Tahoma"/>
          <w:sz w:val="20"/>
          <w:szCs w:val="20"/>
        </w:rPr>
      </w:pPr>
    </w:p>
    <w:p w14:paraId="448856D0"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Help increase the participation of diverse women in policy and decision-making processes at all levels and in diverse settings </w:t>
      </w:r>
    </w:p>
    <w:p w14:paraId="3D774E31"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Create uninhibited operating space for women’s rights organisations and defenders </w:t>
      </w:r>
    </w:p>
    <w:p w14:paraId="24FF8578"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Ensure stronger and better implementation of laws and policies regarding women’s political rights and participation </w:t>
      </w:r>
    </w:p>
    <w:p w14:paraId="79B013FF"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Strengthen the evidence base around needs, methods and effective approaches </w:t>
      </w:r>
    </w:p>
    <w:p w14:paraId="00509E81" w14:textId="77777777" w:rsidR="002B48F4" w:rsidRPr="00E51A34" w:rsidRDefault="002B48F4" w:rsidP="00AC0BE6">
      <w:pPr>
        <w:rPr>
          <w:rFonts w:ascii="Tahoma" w:hAnsi="Tahoma" w:cs="Tahoma"/>
          <w:sz w:val="20"/>
          <w:szCs w:val="20"/>
        </w:rPr>
      </w:pPr>
    </w:p>
    <w:p w14:paraId="0C778678" w14:textId="2654BA05" w:rsidR="007D4A9F" w:rsidRPr="00E51A34" w:rsidRDefault="0058079D" w:rsidP="00AC0BE6">
      <w:pPr>
        <w:rPr>
          <w:rFonts w:ascii="Tahoma" w:hAnsi="Tahoma" w:cs="Tahoma"/>
          <w:b/>
          <w:sz w:val="20"/>
          <w:szCs w:val="20"/>
        </w:rPr>
      </w:pPr>
      <w:r w:rsidRPr="00E51A34">
        <w:rPr>
          <w:rFonts w:ascii="Tahoma" w:hAnsi="Tahoma" w:cs="Tahoma"/>
          <w:b/>
          <w:sz w:val="20"/>
          <w:szCs w:val="20"/>
        </w:rPr>
        <w:t>A focus on women’s leadership</w:t>
      </w:r>
      <w:r w:rsidR="00202EE8" w:rsidRPr="00E51A34">
        <w:rPr>
          <w:rFonts w:ascii="Tahoma" w:hAnsi="Tahoma" w:cs="Tahoma"/>
          <w:b/>
          <w:sz w:val="20"/>
          <w:szCs w:val="20"/>
        </w:rPr>
        <w:t xml:space="preserve"> for change</w:t>
      </w:r>
    </w:p>
    <w:p w14:paraId="2BCC946C" w14:textId="77777777" w:rsidR="0058079D" w:rsidRPr="00E51A34" w:rsidRDefault="0058079D" w:rsidP="00AC0BE6">
      <w:pPr>
        <w:rPr>
          <w:rFonts w:ascii="Tahoma" w:hAnsi="Tahoma" w:cs="Tahoma"/>
          <w:b/>
          <w:color w:val="B969B8" w:themeColor="text2" w:themeTint="99"/>
          <w:sz w:val="20"/>
          <w:szCs w:val="20"/>
        </w:rPr>
      </w:pPr>
    </w:p>
    <w:p w14:paraId="54AD5A85" w14:textId="606E5F9E" w:rsidR="006E2355" w:rsidRPr="00E51A34" w:rsidRDefault="00774AB9" w:rsidP="00AC0BE6">
      <w:pPr>
        <w:rPr>
          <w:rFonts w:ascii="Tahoma" w:hAnsi="Tahoma" w:cs="Tahoma"/>
          <w:sz w:val="20"/>
          <w:szCs w:val="20"/>
        </w:rPr>
      </w:pPr>
      <w:r w:rsidRPr="00E51A34">
        <w:rPr>
          <w:rFonts w:ascii="Tahoma" w:hAnsi="Tahoma" w:cs="Tahoma"/>
          <w:sz w:val="20"/>
          <w:szCs w:val="20"/>
        </w:rPr>
        <w:t xml:space="preserve">AWDF is committed to supporting women’s leadership and will only fund groups that are </w:t>
      </w:r>
      <w:r w:rsidRPr="00E51A34">
        <w:rPr>
          <w:rFonts w:ascii="Tahoma" w:hAnsi="Tahoma" w:cs="Tahoma"/>
          <w:b/>
          <w:sz w:val="20"/>
          <w:szCs w:val="20"/>
        </w:rPr>
        <w:t>women led</w:t>
      </w:r>
      <w:r w:rsidRPr="00E51A34">
        <w:rPr>
          <w:rFonts w:ascii="Tahoma" w:hAnsi="Tahoma" w:cs="Tahoma"/>
          <w:sz w:val="20"/>
          <w:szCs w:val="20"/>
        </w:rPr>
        <w:t xml:space="preserve"> in board/staff and have advancing women’s rights/gender equality as </w:t>
      </w:r>
      <w:r w:rsidR="007D4A9F" w:rsidRPr="00E51A34">
        <w:rPr>
          <w:rFonts w:ascii="Tahoma" w:hAnsi="Tahoma" w:cs="Tahoma"/>
          <w:sz w:val="20"/>
          <w:szCs w:val="20"/>
        </w:rPr>
        <w:t xml:space="preserve">a priority and </w:t>
      </w:r>
      <w:r w:rsidRPr="00E51A34">
        <w:rPr>
          <w:rFonts w:ascii="Tahoma" w:hAnsi="Tahoma" w:cs="Tahoma"/>
          <w:sz w:val="20"/>
          <w:szCs w:val="20"/>
        </w:rPr>
        <w:t xml:space="preserve">an explicit part of their mandate. </w:t>
      </w:r>
    </w:p>
    <w:p w14:paraId="71616064" w14:textId="77777777" w:rsidR="006E2355" w:rsidRPr="00E51A34" w:rsidRDefault="006E2355" w:rsidP="00AC0BE6">
      <w:pPr>
        <w:rPr>
          <w:rFonts w:ascii="Tahoma" w:hAnsi="Tahoma" w:cs="Tahoma"/>
          <w:sz w:val="20"/>
          <w:szCs w:val="20"/>
        </w:rPr>
      </w:pPr>
    </w:p>
    <w:p w14:paraId="03373EDF" w14:textId="5EA85A93" w:rsidR="00774AB9" w:rsidRPr="00E51A34" w:rsidRDefault="00774AB9" w:rsidP="00AC0BE6">
      <w:pPr>
        <w:rPr>
          <w:rFonts w:ascii="Tahoma" w:hAnsi="Tahoma" w:cs="Tahoma"/>
          <w:sz w:val="20"/>
          <w:szCs w:val="20"/>
        </w:rPr>
      </w:pPr>
      <w:r w:rsidRPr="00E51A34">
        <w:rPr>
          <w:rFonts w:ascii="Tahoma" w:hAnsi="Tahoma" w:cs="Tahoma"/>
          <w:sz w:val="20"/>
          <w:szCs w:val="20"/>
        </w:rPr>
        <w:t xml:space="preserve">AWDF </w:t>
      </w:r>
      <w:r w:rsidR="006E2355" w:rsidRPr="00E51A34">
        <w:rPr>
          <w:rFonts w:ascii="Tahoma" w:hAnsi="Tahoma" w:cs="Tahoma"/>
          <w:sz w:val="20"/>
          <w:szCs w:val="20"/>
        </w:rPr>
        <w:t>supports</w:t>
      </w:r>
      <w:r w:rsidRPr="00E51A34">
        <w:rPr>
          <w:rFonts w:ascii="Tahoma" w:hAnsi="Tahoma" w:cs="Tahoma"/>
          <w:sz w:val="20"/>
          <w:szCs w:val="20"/>
        </w:rPr>
        <w:t xml:space="preserve"> organisations</w:t>
      </w:r>
      <w:r w:rsidR="006E2355" w:rsidRPr="00E51A34">
        <w:rPr>
          <w:rFonts w:ascii="Tahoma" w:hAnsi="Tahoma" w:cs="Tahoma"/>
          <w:sz w:val="20"/>
          <w:szCs w:val="20"/>
        </w:rPr>
        <w:t xml:space="preserve"> and </w:t>
      </w:r>
      <w:r w:rsidRPr="00E51A34">
        <w:rPr>
          <w:rFonts w:ascii="Tahoma" w:hAnsi="Tahoma" w:cs="Tahoma"/>
          <w:sz w:val="20"/>
          <w:szCs w:val="20"/>
        </w:rPr>
        <w:t xml:space="preserve">initiatives </w:t>
      </w:r>
      <w:r w:rsidR="006E2355" w:rsidRPr="00E51A34">
        <w:rPr>
          <w:rFonts w:ascii="Tahoma" w:hAnsi="Tahoma" w:cs="Tahoma"/>
          <w:sz w:val="20"/>
          <w:szCs w:val="20"/>
        </w:rPr>
        <w:t xml:space="preserve">advancing the rights of </w:t>
      </w:r>
      <w:r w:rsidRPr="00E51A34">
        <w:rPr>
          <w:rFonts w:ascii="Tahoma" w:hAnsi="Tahoma" w:cs="Tahoma"/>
          <w:sz w:val="20"/>
          <w:szCs w:val="20"/>
        </w:rPr>
        <w:t xml:space="preserve">women facing multiple discriminations. </w:t>
      </w:r>
      <w:r w:rsidR="00675226" w:rsidRPr="00E51A34">
        <w:rPr>
          <w:rFonts w:ascii="Tahoma" w:eastAsia="Tahoma" w:hAnsi="Tahoma" w:cs="Tahoma"/>
          <w:sz w:val="20"/>
          <w:szCs w:val="20"/>
        </w:rPr>
        <w:t>This includes young women; differently-abled women; women living with HIV, economically marginalised rural and urban women; sex workers; and lesbian, bisexual, transgender, queer and intersex (LBTQI) women</w:t>
      </w:r>
      <w:r w:rsidRPr="00E51A34">
        <w:rPr>
          <w:rFonts w:ascii="Tahoma" w:hAnsi="Tahoma" w:cs="Tahoma"/>
          <w:sz w:val="20"/>
          <w:szCs w:val="20"/>
        </w:rPr>
        <w:t>. We will encourage applications from initiatives led by and/or including the participation and agendas of these constituencies.</w:t>
      </w:r>
    </w:p>
    <w:p w14:paraId="1727E78D" w14:textId="51A8D11E" w:rsidR="00270B6E" w:rsidRPr="00E51A34" w:rsidRDefault="00270B6E" w:rsidP="00AC0BE6">
      <w:pPr>
        <w:pStyle w:val="Heading1"/>
        <w:rPr>
          <w:rFonts w:ascii="Tahoma" w:hAnsi="Tahoma" w:cs="Tahoma"/>
          <w:sz w:val="22"/>
          <w:szCs w:val="22"/>
        </w:rPr>
      </w:pPr>
      <w:bookmarkStart w:id="2" w:name="_Toc472086908"/>
      <w:r w:rsidRPr="00E51A34">
        <w:rPr>
          <w:rFonts w:ascii="Tahoma" w:hAnsi="Tahoma" w:cs="Tahoma"/>
          <w:sz w:val="22"/>
          <w:szCs w:val="22"/>
        </w:rPr>
        <w:t>II. GEOGRAPHICAL COVERAGE</w:t>
      </w:r>
      <w:r w:rsidR="002F6E94" w:rsidRPr="00E51A34">
        <w:rPr>
          <w:rFonts w:ascii="Tahoma" w:hAnsi="Tahoma" w:cs="Tahoma"/>
          <w:sz w:val="22"/>
          <w:szCs w:val="22"/>
        </w:rPr>
        <w:t xml:space="preserve"> &amp; LANGUAGE</w:t>
      </w:r>
      <w:r w:rsidRPr="00E51A34">
        <w:rPr>
          <w:rFonts w:ascii="Tahoma" w:hAnsi="Tahoma" w:cs="Tahoma"/>
          <w:sz w:val="22"/>
          <w:szCs w:val="22"/>
        </w:rPr>
        <w:t>:</w:t>
      </w:r>
      <w:bookmarkEnd w:id="2"/>
    </w:p>
    <w:p w14:paraId="70EACCA9" w14:textId="77777777" w:rsidR="00270B6E" w:rsidRPr="00E51A34" w:rsidRDefault="00270B6E" w:rsidP="00AC0BE6">
      <w:pPr>
        <w:rPr>
          <w:rFonts w:ascii="Tahoma" w:hAnsi="Tahoma" w:cs="Tahoma"/>
          <w:sz w:val="22"/>
          <w:szCs w:val="22"/>
        </w:rPr>
      </w:pPr>
    </w:p>
    <w:p w14:paraId="58CEC693" w14:textId="7EB69477" w:rsidR="00270B6E" w:rsidRPr="00E51A34" w:rsidRDefault="006E2355" w:rsidP="00AC0BE6">
      <w:pPr>
        <w:rPr>
          <w:rFonts w:ascii="Tahoma" w:hAnsi="Tahoma" w:cs="Tahoma"/>
          <w:sz w:val="20"/>
          <w:szCs w:val="20"/>
        </w:rPr>
      </w:pPr>
      <w:r w:rsidRPr="00E51A34">
        <w:rPr>
          <w:rFonts w:ascii="Tahoma" w:hAnsi="Tahoma" w:cs="Tahoma"/>
          <w:b/>
          <w:sz w:val="20"/>
          <w:szCs w:val="20"/>
        </w:rPr>
        <w:t xml:space="preserve">Applications </w:t>
      </w:r>
      <w:r w:rsidRPr="00E51A34">
        <w:rPr>
          <w:rFonts w:ascii="Tahoma" w:hAnsi="Tahoma" w:cs="Tahoma"/>
          <w:sz w:val="20"/>
          <w:szCs w:val="20"/>
        </w:rPr>
        <w:t>are accepted for women’s groups</w:t>
      </w:r>
      <w:r w:rsidRPr="00E51A34">
        <w:rPr>
          <w:rFonts w:ascii="Tahoma" w:hAnsi="Tahoma" w:cs="Tahoma"/>
          <w:i/>
          <w:sz w:val="20"/>
          <w:szCs w:val="20"/>
        </w:rPr>
        <w:t xml:space="preserve"> </w:t>
      </w:r>
      <w:r w:rsidRPr="00E51A34">
        <w:rPr>
          <w:rFonts w:ascii="Tahoma" w:hAnsi="Tahoma" w:cs="Tahoma"/>
          <w:sz w:val="20"/>
          <w:szCs w:val="20"/>
          <w:u w:val="single"/>
        </w:rPr>
        <w:t xml:space="preserve">registered </w:t>
      </w:r>
      <w:r w:rsidRPr="00E51A34">
        <w:rPr>
          <w:rFonts w:ascii="Tahoma" w:hAnsi="Tahoma" w:cs="Tahoma"/>
          <w:sz w:val="20"/>
          <w:szCs w:val="20"/>
        </w:rPr>
        <w:t xml:space="preserve">in the following countries in </w:t>
      </w:r>
      <w:r w:rsidR="007A2A61" w:rsidRPr="00E51A34">
        <w:rPr>
          <w:rFonts w:ascii="Tahoma" w:hAnsi="Tahoma" w:cs="Tahoma"/>
          <w:sz w:val="20"/>
          <w:szCs w:val="20"/>
        </w:rPr>
        <w:t xml:space="preserve">Africa and the </w:t>
      </w:r>
      <w:r w:rsidR="00255BED" w:rsidRPr="00E51A34">
        <w:rPr>
          <w:rFonts w:ascii="Tahoma" w:hAnsi="Tahoma" w:cs="Tahoma"/>
          <w:sz w:val="20"/>
          <w:szCs w:val="20"/>
        </w:rPr>
        <w:t>Middle East</w:t>
      </w:r>
      <w:r w:rsidR="00270B6E" w:rsidRPr="00E51A34">
        <w:rPr>
          <w:rFonts w:ascii="Tahoma" w:hAnsi="Tahoma" w:cs="Tahoma"/>
          <w:sz w:val="20"/>
          <w:szCs w:val="20"/>
        </w:rPr>
        <w:t xml:space="preserve">: </w:t>
      </w:r>
    </w:p>
    <w:p w14:paraId="55CCFC7F" w14:textId="77777777" w:rsidR="00954FA7" w:rsidRPr="00E51A34" w:rsidRDefault="00954FA7" w:rsidP="00AC0BE6">
      <w:pPr>
        <w:rPr>
          <w:rFonts w:ascii="Tahoma" w:hAnsi="Tahoma" w:cs="Tahoma"/>
          <w:sz w:val="20"/>
          <w:szCs w:val="20"/>
        </w:rPr>
      </w:pPr>
    </w:p>
    <w:p w14:paraId="0F5AF824" w14:textId="723933E2" w:rsidR="00954FA7" w:rsidRPr="00E51A34" w:rsidRDefault="00954FA7" w:rsidP="00AC0BE6">
      <w:pPr>
        <w:rPr>
          <w:rFonts w:ascii="Tahoma" w:hAnsi="Tahoma" w:cs="Tahoma"/>
          <w:sz w:val="20"/>
          <w:szCs w:val="20"/>
        </w:rPr>
      </w:pPr>
      <w:r w:rsidRPr="00E51A34">
        <w:rPr>
          <w:rFonts w:ascii="Tahoma" w:hAnsi="Tahoma" w:cs="Tahoma"/>
          <w:b/>
          <w:color w:val="6D1D6A" w:themeColor="accent1" w:themeShade="BF"/>
          <w:sz w:val="20"/>
          <w:szCs w:val="20"/>
        </w:rPr>
        <w:t>Africa</w:t>
      </w:r>
      <w:r w:rsidRPr="00E51A34">
        <w:rPr>
          <w:rFonts w:ascii="Tahoma" w:hAnsi="Tahoma" w:cs="Tahoma"/>
          <w:color w:val="6D1D6A" w:themeColor="accent1" w:themeShade="BF"/>
          <w:sz w:val="20"/>
          <w:szCs w:val="20"/>
        </w:rPr>
        <w:t xml:space="preserve">: </w:t>
      </w:r>
      <w:r w:rsidR="00255BED" w:rsidRPr="00E51A34">
        <w:rPr>
          <w:rFonts w:ascii="Tahoma" w:hAnsi="Tahoma" w:cs="Tahoma"/>
          <w:sz w:val="20"/>
          <w:szCs w:val="20"/>
        </w:rPr>
        <w:t xml:space="preserve">Algeria, </w:t>
      </w:r>
      <w:r w:rsidRPr="00E51A34">
        <w:rPr>
          <w:rFonts w:ascii="Tahoma" w:hAnsi="Tahoma" w:cs="Tahoma"/>
          <w:sz w:val="20"/>
          <w:szCs w:val="20"/>
        </w:rPr>
        <w:t xml:space="preserve">Angola, Benin, Botswana, Burkina Faso, Burundi, Cameroon, Cape Verde, Central Africa, Chad, Comoros, Democratic Republic of the Congo, Republic of the Congo, Djibouti, </w:t>
      </w:r>
      <w:r w:rsidR="00255BED" w:rsidRPr="00E51A34">
        <w:rPr>
          <w:rFonts w:ascii="Tahoma" w:hAnsi="Tahoma" w:cs="Tahoma"/>
          <w:sz w:val="20"/>
          <w:szCs w:val="20"/>
        </w:rPr>
        <w:t xml:space="preserve">Egypt, </w:t>
      </w:r>
      <w:r w:rsidRPr="00E51A34">
        <w:rPr>
          <w:rFonts w:ascii="Tahoma" w:hAnsi="Tahoma" w:cs="Tahoma"/>
          <w:sz w:val="20"/>
          <w:szCs w:val="20"/>
        </w:rPr>
        <w:t>Equatorial Guinea, Eritrea, Ethiopia, Gabon, Gambia, Ghana, Guinea, Guinea-Bissau, Ivory Coast, Kenya, Lesotho, Liberia,</w:t>
      </w:r>
      <w:r w:rsidR="00255BED" w:rsidRPr="00E51A34">
        <w:rPr>
          <w:rFonts w:ascii="Tahoma" w:hAnsi="Tahoma" w:cs="Tahoma"/>
          <w:sz w:val="20"/>
          <w:szCs w:val="20"/>
        </w:rPr>
        <w:t xml:space="preserve"> Libya,</w:t>
      </w:r>
      <w:r w:rsidRPr="00E51A34">
        <w:rPr>
          <w:rFonts w:ascii="Tahoma" w:hAnsi="Tahoma" w:cs="Tahoma"/>
          <w:sz w:val="20"/>
          <w:szCs w:val="20"/>
        </w:rPr>
        <w:t xml:space="preserve"> Madagascar, Malawi, Mali, Mauritania, Mauritius, </w:t>
      </w:r>
      <w:r w:rsidR="00255BED" w:rsidRPr="00E51A34">
        <w:rPr>
          <w:rFonts w:ascii="Tahoma" w:hAnsi="Tahoma" w:cs="Tahoma"/>
          <w:sz w:val="20"/>
          <w:szCs w:val="20"/>
        </w:rPr>
        <w:t xml:space="preserve">Morocco, </w:t>
      </w:r>
      <w:r w:rsidRPr="00E51A34">
        <w:rPr>
          <w:rFonts w:ascii="Tahoma" w:hAnsi="Tahoma" w:cs="Tahoma"/>
          <w:sz w:val="20"/>
          <w:szCs w:val="20"/>
        </w:rPr>
        <w:t xml:space="preserve">Mozambique, Namibia, Niger, Nigeria, Rwanda, Sao Tomé and Principe, Senegal, Seychelles, Sierra Leone, Somalia, South Africa, Swaziland, Tanzania, Togo, </w:t>
      </w:r>
      <w:r w:rsidR="00255BED" w:rsidRPr="00E51A34">
        <w:rPr>
          <w:rFonts w:ascii="Tahoma" w:hAnsi="Tahoma" w:cs="Tahoma"/>
          <w:sz w:val="20"/>
          <w:szCs w:val="20"/>
        </w:rPr>
        <w:t xml:space="preserve">Tunisia, </w:t>
      </w:r>
      <w:r w:rsidRPr="00E51A34">
        <w:rPr>
          <w:rFonts w:ascii="Tahoma" w:hAnsi="Tahoma" w:cs="Tahoma"/>
          <w:sz w:val="20"/>
          <w:szCs w:val="20"/>
        </w:rPr>
        <w:t>Uganda, Zambia, Zimbabwe</w:t>
      </w:r>
      <w:r w:rsidR="00E075B9" w:rsidRPr="00E51A34">
        <w:rPr>
          <w:rFonts w:ascii="Tahoma" w:hAnsi="Tahoma" w:cs="Tahoma"/>
          <w:sz w:val="20"/>
          <w:szCs w:val="20"/>
        </w:rPr>
        <w:t>.</w:t>
      </w:r>
    </w:p>
    <w:p w14:paraId="04C782FD" w14:textId="77777777" w:rsidR="00732280" w:rsidRPr="00E51A34" w:rsidRDefault="00732280" w:rsidP="00AC0BE6">
      <w:pPr>
        <w:rPr>
          <w:rFonts w:ascii="Tahoma" w:hAnsi="Tahoma" w:cs="Tahoma"/>
          <w:sz w:val="20"/>
          <w:szCs w:val="20"/>
        </w:rPr>
      </w:pPr>
    </w:p>
    <w:p w14:paraId="5E793863" w14:textId="7DC4958D" w:rsidR="00954FA7" w:rsidRPr="00E51A34" w:rsidRDefault="00515F00" w:rsidP="00AC0BE6">
      <w:pPr>
        <w:rPr>
          <w:rFonts w:ascii="Tahoma" w:hAnsi="Tahoma" w:cs="Tahoma"/>
          <w:sz w:val="20"/>
          <w:szCs w:val="20"/>
        </w:rPr>
      </w:pPr>
      <w:r w:rsidRPr="00E51A34">
        <w:rPr>
          <w:rFonts w:ascii="Tahoma" w:hAnsi="Tahoma" w:cs="Tahoma"/>
          <w:b/>
          <w:color w:val="6D1D6A" w:themeColor="accent1" w:themeShade="BF"/>
          <w:sz w:val="20"/>
          <w:szCs w:val="20"/>
        </w:rPr>
        <w:t>Middle East</w:t>
      </w:r>
      <w:r w:rsidR="00334C4C" w:rsidRPr="00E51A34">
        <w:rPr>
          <w:rFonts w:ascii="Tahoma" w:hAnsi="Tahoma" w:cs="Tahoma"/>
          <w:i/>
          <w:color w:val="6D1D6A" w:themeColor="accent1" w:themeShade="BF"/>
          <w:sz w:val="20"/>
          <w:szCs w:val="20"/>
        </w:rPr>
        <w:t>:</w:t>
      </w:r>
      <w:r w:rsidR="00334C4C" w:rsidRPr="00E51A34">
        <w:rPr>
          <w:rFonts w:ascii="Tahoma" w:hAnsi="Tahoma" w:cs="Tahoma"/>
          <w:color w:val="6D1D6A" w:themeColor="accent1" w:themeShade="BF"/>
          <w:sz w:val="20"/>
          <w:szCs w:val="20"/>
        </w:rPr>
        <w:t xml:space="preserve"> </w:t>
      </w:r>
      <w:r w:rsidR="00954FA7" w:rsidRPr="00E51A34">
        <w:rPr>
          <w:rFonts w:ascii="Tahoma" w:hAnsi="Tahoma" w:cs="Tahoma"/>
          <w:sz w:val="20"/>
          <w:szCs w:val="20"/>
        </w:rPr>
        <w:t>Iraq, Jordan,</w:t>
      </w:r>
      <w:r w:rsidR="00255BED" w:rsidRPr="00E51A34">
        <w:rPr>
          <w:rFonts w:ascii="Tahoma" w:hAnsi="Tahoma" w:cs="Tahoma"/>
          <w:sz w:val="20"/>
          <w:szCs w:val="20"/>
        </w:rPr>
        <w:t xml:space="preserve"> Lebanon</w:t>
      </w:r>
      <w:r w:rsidR="006E2355" w:rsidRPr="00E51A34">
        <w:rPr>
          <w:rFonts w:ascii="Tahoma" w:hAnsi="Tahoma" w:cs="Tahoma"/>
          <w:sz w:val="20"/>
          <w:szCs w:val="20"/>
        </w:rPr>
        <w:t>,</w:t>
      </w:r>
      <w:r w:rsidR="00954FA7" w:rsidRPr="00E51A34">
        <w:rPr>
          <w:rFonts w:ascii="Tahoma" w:hAnsi="Tahoma" w:cs="Tahoma"/>
          <w:sz w:val="20"/>
          <w:szCs w:val="20"/>
        </w:rPr>
        <w:t xml:space="preserve"> Palestine, and Yemen</w:t>
      </w:r>
    </w:p>
    <w:p w14:paraId="3B834309" w14:textId="77777777" w:rsidR="00E075B9" w:rsidRPr="00E51A34" w:rsidRDefault="00E075B9" w:rsidP="00AC0BE6">
      <w:pPr>
        <w:rPr>
          <w:rFonts w:ascii="Tahoma" w:hAnsi="Tahoma" w:cs="Tahoma"/>
          <w:sz w:val="20"/>
          <w:szCs w:val="20"/>
        </w:rPr>
      </w:pPr>
    </w:p>
    <w:p w14:paraId="2DEA621D" w14:textId="6304A76E" w:rsidR="00D10AB0" w:rsidRPr="00E51A34" w:rsidRDefault="00D10AB0" w:rsidP="00AC0BE6">
      <w:pPr>
        <w:spacing w:line="276" w:lineRule="auto"/>
        <w:rPr>
          <w:rFonts w:ascii="Tahoma" w:hAnsi="Tahoma" w:cs="Tahoma"/>
          <w:sz w:val="20"/>
          <w:szCs w:val="20"/>
        </w:rPr>
      </w:pPr>
      <w:r w:rsidRPr="00E51A34">
        <w:rPr>
          <w:rFonts w:ascii="Tahoma" w:hAnsi="Tahoma" w:cs="Tahoma"/>
          <w:sz w:val="20"/>
          <w:szCs w:val="20"/>
        </w:rPr>
        <w:t xml:space="preserve">Funded programmes may be </w:t>
      </w:r>
      <w:r w:rsidRPr="00E51A34">
        <w:rPr>
          <w:rFonts w:ascii="Tahoma" w:hAnsi="Tahoma" w:cs="Tahoma"/>
          <w:sz w:val="20"/>
          <w:szCs w:val="20"/>
          <w:u w:val="single"/>
        </w:rPr>
        <w:t>implemented</w:t>
      </w:r>
      <w:r w:rsidRPr="00E51A34">
        <w:rPr>
          <w:rFonts w:ascii="Tahoma" w:hAnsi="Tahoma" w:cs="Tahoma"/>
          <w:sz w:val="20"/>
          <w:szCs w:val="20"/>
        </w:rPr>
        <w:t xml:space="preserve"> in any of the above countries, as well as in Sudan, South Sudan, Iran and Syria. </w:t>
      </w:r>
    </w:p>
    <w:p w14:paraId="229FAEE1" w14:textId="77777777" w:rsidR="00D10AB0" w:rsidRPr="00E51A34" w:rsidRDefault="00D10AB0" w:rsidP="00AC0BE6">
      <w:pPr>
        <w:spacing w:line="276" w:lineRule="auto"/>
        <w:rPr>
          <w:rFonts w:ascii="Tahoma" w:hAnsi="Tahoma" w:cs="Tahoma"/>
          <w:sz w:val="20"/>
          <w:szCs w:val="20"/>
        </w:rPr>
      </w:pPr>
    </w:p>
    <w:p w14:paraId="0FA4E520" w14:textId="6FAEBC9C" w:rsidR="00270B6E" w:rsidRPr="00E51A34" w:rsidRDefault="00605B54" w:rsidP="00AC0BE6">
      <w:pPr>
        <w:spacing w:line="276" w:lineRule="auto"/>
        <w:rPr>
          <w:rFonts w:ascii="Tahoma" w:hAnsi="Tahoma" w:cs="Tahoma"/>
          <w:sz w:val="20"/>
          <w:szCs w:val="20"/>
        </w:rPr>
      </w:pPr>
      <w:r w:rsidRPr="00E51A34">
        <w:rPr>
          <w:rFonts w:ascii="Tahoma" w:hAnsi="Tahoma" w:cs="Tahoma"/>
          <w:sz w:val="20"/>
          <w:szCs w:val="20"/>
        </w:rPr>
        <w:t xml:space="preserve">Applications will be accepted in English </w:t>
      </w:r>
      <w:r w:rsidR="006E2355" w:rsidRPr="00E51A34">
        <w:rPr>
          <w:rFonts w:ascii="Tahoma" w:hAnsi="Tahoma" w:cs="Tahoma"/>
          <w:sz w:val="20"/>
          <w:szCs w:val="20"/>
        </w:rPr>
        <w:t>or</w:t>
      </w:r>
      <w:r w:rsidRPr="00E51A34">
        <w:rPr>
          <w:rFonts w:ascii="Tahoma" w:hAnsi="Tahoma" w:cs="Tahoma"/>
          <w:sz w:val="20"/>
          <w:szCs w:val="20"/>
        </w:rPr>
        <w:t xml:space="preserve"> French. </w:t>
      </w:r>
      <w:r w:rsidR="006E2355" w:rsidRPr="00E51A34">
        <w:rPr>
          <w:rFonts w:ascii="Tahoma" w:hAnsi="Tahoma" w:cs="Tahoma"/>
          <w:sz w:val="20"/>
          <w:szCs w:val="20"/>
        </w:rPr>
        <w:t>Once a grant is awarded, technical support will be available in English and</w:t>
      </w:r>
      <w:r w:rsidR="00EF04BF" w:rsidRPr="00E51A34">
        <w:rPr>
          <w:rFonts w:ascii="Tahoma" w:hAnsi="Tahoma" w:cs="Tahoma"/>
          <w:sz w:val="20"/>
          <w:szCs w:val="20"/>
        </w:rPr>
        <w:t xml:space="preserve"> French. </w:t>
      </w:r>
    </w:p>
    <w:p w14:paraId="3D6A9ED4" w14:textId="77777777" w:rsidR="004878B3" w:rsidRPr="00E51A34" w:rsidRDefault="004878B3" w:rsidP="00EF04BF">
      <w:pPr>
        <w:spacing w:line="276" w:lineRule="auto"/>
        <w:jc w:val="center"/>
        <w:rPr>
          <w:rFonts w:ascii="Tahoma" w:hAnsi="Tahoma" w:cs="Tahoma"/>
          <w:sz w:val="20"/>
          <w:szCs w:val="20"/>
        </w:rPr>
      </w:pPr>
    </w:p>
    <w:p w14:paraId="61733304" w14:textId="74256D81" w:rsidR="00C836D6" w:rsidRPr="00E51A34" w:rsidRDefault="00270B6E" w:rsidP="00AC0BE6">
      <w:pPr>
        <w:pStyle w:val="Heading1"/>
        <w:rPr>
          <w:rFonts w:ascii="Tahoma" w:hAnsi="Tahoma" w:cs="Tahoma"/>
          <w:sz w:val="22"/>
          <w:szCs w:val="22"/>
        </w:rPr>
      </w:pPr>
      <w:bookmarkStart w:id="3" w:name="_Toc472086909"/>
      <w:r w:rsidRPr="00E51A34">
        <w:rPr>
          <w:rFonts w:ascii="Tahoma" w:hAnsi="Tahoma" w:cs="Tahoma"/>
          <w:sz w:val="22"/>
          <w:szCs w:val="22"/>
        </w:rPr>
        <w:t xml:space="preserve">III. </w:t>
      </w:r>
      <w:r w:rsidR="00271FB4" w:rsidRPr="00E51A34">
        <w:rPr>
          <w:rFonts w:ascii="Tahoma" w:hAnsi="Tahoma" w:cs="Tahoma"/>
          <w:sz w:val="22"/>
          <w:szCs w:val="22"/>
        </w:rPr>
        <w:t xml:space="preserve">GRANT </w:t>
      </w:r>
      <w:r w:rsidRPr="00E51A34">
        <w:rPr>
          <w:rFonts w:ascii="Tahoma" w:hAnsi="Tahoma" w:cs="Tahoma"/>
          <w:sz w:val="22"/>
          <w:szCs w:val="22"/>
        </w:rPr>
        <w:t>TYPE</w:t>
      </w:r>
      <w:r w:rsidR="00271FB4" w:rsidRPr="00E51A34">
        <w:rPr>
          <w:rFonts w:ascii="Tahoma" w:hAnsi="Tahoma" w:cs="Tahoma"/>
          <w:sz w:val="22"/>
          <w:szCs w:val="22"/>
        </w:rPr>
        <w:t xml:space="preserve"> AND SIZE</w:t>
      </w:r>
      <w:bookmarkEnd w:id="3"/>
    </w:p>
    <w:p w14:paraId="1B791A10" w14:textId="77777777" w:rsidR="00C836D6" w:rsidRPr="00E51A34" w:rsidRDefault="00C836D6" w:rsidP="00AC0BE6">
      <w:pPr>
        <w:rPr>
          <w:rFonts w:ascii="Tahoma" w:hAnsi="Tahoma" w:cs="Tahoma"/>
          <w:sz w:val="22"/>
          <w:szCs w:val="22"/>
        </w:rPr>
      </w:pPr>
    </w:p>
    <w:p w14:paraId="294A8D0A" w14:textId="1D86B0B3" w:rsidR="004A4C2B" w:rsidRPr="00E51A34" w:rsidRDefault="00780BFE" w:rsidP="000A51A2">
      <w:pPr>
        <w:spacing w:line="276" w:lineRule="auto"/>
        <w:rPr>
          <w:rFonts w:ascii="Tahoma" w:hAnsi="Tahoma" w:cs="Tahoma"/>
          <w:sz w:val="20"/>
          <w:szCs w:val="20"/>
        </w:rPr>
      </w:pPr>
      <w:r w:rsidRPr="00E51A34">
        <w:rPr>
          <w:rFonts w:ascii="Tahoma" w:hAnsi="Tahoma" w:cs="Tahoma"/>
          <w:sz w:val="20"/>
          <w:szCs w:val="20"/>
        </w:rPr>
        <w:lastRenderedPageBreak/>
        <w:t>Grants will be awarded in the range of US</w:t>
      </w:r>
      <w:r w:rsidR="003A00A1" w:rsidRPr="00E51A34">
        <w:rPr>
          <w:rFonts w:ascii="Tahoma" w:hAnsi="Tahoma" w:cs="Tahoma"/>
          <w:sz w:val="20"/>
          <w:szCs w:val="20"/>
        </w:rPr>
        <w:t>$</w:t>
      </w:r>
      <w:r w:rsidRPr="00E51A34">
        <w:rPr>
          <w:rFonts w:ascii="Tahoma" w:hAnsi="Tahoma" w:cs="Tahoma"/>
          <w:sz w:val="20"/>
          <w:szCs w:val="20"/>
        </w:rPr>
        <w:t>20,000 to US</w:t>
      </w:r>
      <w:r w:rsidR="003A00A1" w:rsidRPr="00E51A34">
        <w:rPr>
          <w:rFonts w:ascii="Tahoma" w:hAnsi="Tahoma" w:cs="Tahoma"/>
          <w:sz w:val="20"/>
          <w:szCs w:val="20"/>
        </w:rPr>
        <w:t>$</w:t>
      </w:r>
      <w:r w:rsidR="000A51A2" w:rsidRPr="00E51A34">
        <w:rPr>
          <w:rFonts w:ascii="Tahoma" w:hAnsi="Tahoma" w:cs="Tahoma"/>
          <w:sz w:val="20"/>
          <w:szCs w:val="20"/>
        </w:rPr>
        <w:t xml:space="preserve"> 500,000 a year, in line with the following </w:t>
      </w:r>
      <w:r w:rsidR="00411A59" w:rsidRPr="00E51A34">
        <w:rPr>
          <w:rFonts w:ascii="Tahoma" w:hAnsi="Tahoma" w:cs="Tahoma"/>
          <w:sz w:val="20"/>
          <w:szCs w:val="20"/>
        </w:rPr>
        <w:t>three</w:t>
      </w:r>
      <w:r w:rsidR="003B36BC" w:rsidRPr="00E51A34">
        <w:rPr>
          <w:rFonts w:ascii="Tahoma" w:hAnsi="Tahoma" w:cs="Tahoma"/>
          <w:sz w:val="20"/>
          <w:szCs w:val="20"/>
        </w:rPr>
        <w:t xml:space="preserve"> categories: </w:t>
      </w:r>
    </w:p>
    <w:p w14:paraId="021DCE52" w14:textId="77777777" w:rsidR="0015030E" w:rsidRPr="00E51A34" w:rsidRDefault="0015030E" w:rsidP="00AC0BE6">
      <w:pPr>
        <w:pStyle w:val="Normal1"/>
        <w:spacing w:line="276" w:lineRule="auto"/>
        <w:rPr>
          <w:rFonts w:ascii="Tahoma" w:hAnsi="Tahoma" w:cs="Tahoma"/>
          <w:b/>
          <w:color w:val="92278F" w:themeColor="accent1"/>
        </w:rPr>
      </w:pPr>
    </w:p>
    <w:p w14:paraId="5EEBD8D9" w14:textId="64649231" w:rsidR="000A51A2" w:rsidRPr="00E51A34" w:rsidRDefault="000A51A2" w:rsidP="00AC0BE6">
      <w:pPr>
        <w:pStyle w:val="Normal1"/>
        <w:spacing w:line="276" w:lineRule="auto"/>
        <w:rPr>
          <w:rFonts w:ascii="Tahoma" w:hAnsi="Tahoma" w:cs="Tahoma"/>
          <w:b/>
          <w:color w:val="92278F" w:themeColor="accent1"/>
        </w:rPr>
      </w:pPr>
      <w:r w:rsidRPr="00E51A34">
        <w:rPr>
          <w:rFonts w:ascii="Tahoma" w:hAnsi="Tahoma" w:cs="Tahoma"/>
          <w:b/>
          <w:noProof/>
          <w:color w:val="92278F" w:themeColor="accent1"/>
          <w:lang w:eastAsia="en-GB"/>
        </w:rPr>
        <w:drawing>
          <wp:inline distT="0" distB="0" distL="0" distR="0" wp14:anchorId="014951F9" wp14:editId="4A0EAB49">
            <wp:extent cx="5270500" cy="3600450"/>
            <wp:effectExtent l="3810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A478949" w14:textId="77777777" w:rsidR="0091420B" w:rsidRPr="00E51A34" w:rsidRDefault="0091420B" w:rsidP="00AC0BE6">
      <w:pPr>
        <w:pStyle w:val="Normal1"/>
        <w:spacing w:line="276" w:lineRule="auto"/>
        <w:rPr>
          <w:rFonts w:ascii="Tahoma" w:hAnsi="Tahoma" w:cs="Tahoma"/>
          <w:color w:val="92278F" w:themeColor="accent1"/>
        </w:rPr>
      </w:pPr>
    </w:p>
    <w:p w14:paraId="00FD7296" w14:textId="410B5398" w:rsidR="00C73BC4" w:rsidRPr="00E51A34" w:rsidRDefault="00270B6E" w:rsidP="00F656EE">
      <w:pPr>
        <w:pStyle w:val="Heading1"/>
        <w:rPr>
          <w:rFonts w:ascii="Tahoma" w:hAnsi="Tahoma" w:cs="Tahoma"/>
          <w:sz w:val="22"/>
          <w:szCs w:val="22"/>
        </w:rPr>
      </w:pPr>
      <w:bookmarkStart w:id="4" w:name="_Toc472086910"/>
      <w:r w:rsidRPr="00E51A34">
        <w:rPr>
          <w:rFonts w:ascii="Tahoma" w:hAnsi="Tahoma" w:cs="Tahoma"/>
          <w:sz w:val="22"/>
          <w:szCs w:val="22"/>
        </w:rPr>
        <w:t xml:space="preserve">IV. </w:t>
      </w:r>
      <w:r w:rsidR="00C73BC4" w:rsidRPr="00E51A34">
        <w:rPr>
          <w:rFonts w:ascii="Tahoma" w:hAnsi="Tahoma" w:cs="Tahoma"/>
          <w:sz w:val="22"/>
          <w:szCs w:val="22"/>
        </w:rPr>
        <w:t>ELIGIBILITY CRITERIA</w:t>
      </w:r>
      <w:bookmarkEnd w:id="4"/>
    </w:p>
    <w:p w14:paraId="1445F77D" w14:textId="708F9B91" w:rsidR="00524CEF" w:rsidRPr="00E51A34" w:rsidRDefault="00C73BC4" w:rsidP="00AD48FD">
      <w:pPr>
        <w:pStyle w:val="Heading2"/>
        <w:rPr>
          <w:rFonts w:ascii="Tahoma" w:hAnsi="Tahoma" w:cs="Tahoma"/>
        </w:rPr>
      </w:pPr>
      <w:bookmarkStart w:id="5" w:name="_Toc472086911"/>
      <w:r w:rsidRPr="00E51A34">
        <w:rPr>
          <w:rFonts w:ascii="Tahoma" w:hAnsi="Tahoma" w:cs="Tahoma"/>
        </w:rPr>
        <w:t>Who can apply</w:t>
      </w:r>
      <w:bookmarkEnd w:id="5"/>
    </w:p>
    <w:p w14:paraId="2B8901E6" w14:textId="7479631D" w:rsidR="00675226" w:rsidRPr="00E51A34" w:rsidRDefault="00675226" w:rsidP="00F67FFB">
      <w:pPr>
        <w:numPr>
          <w:ilvl w:val="0"/>
          <w:numId w:val="4"/>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AWDF accepts applications from women’s rights organisations registered and working in DAC recipient countries in Africa and the Middle East (see country list in section II).</w:t>
      </w:r>
    </w:p>
    <w:p w14:paraId="421AABB2" w14:textId="77777777" w:rsidR="00675226" w:rsidRPr="00E51A34" w:rsidRDefault="00675226" w:rsidP="00F67FFB">
      <w:pPr>
        <w:numPr>
          <w:ilvl w:val="0"/>
          <w:numId w:val="4"/>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 xml:space="preserve">AWDF funds women-led, women’s organisations as a priority. Organisations must have:  </w:t>
      </w:r>
    </w:p>
    <w:p w14:paraId="1439AF06" w14:textId="77777777" w:rsidR="00675226" w:rsidRPr="00E51A34" w:rsidRDefault="00675226" w:rsidP="00F67FFB">
      <w:pPr>
        <w:numPr>
          <w:ilvl w:val="1"/>
          <w:numId w:val="4"/>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a track record of work on women’s rights,</w:t>
      </w:r>
    </w:p>
    <w:p w14:paraId="03FC271D" w14:textId="77777777" w:rsidR="00675226" w:rsidRPr="00E51A34" w:rsidRDefault="00675226" w:rsidP="00F67FFB">
      <w:pPr>
        <w:numPr>
          <w:ilvl w:val="1"/>
          <w:numId w:val="4"/>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a woman as organisational director/lead</w:t>
      </w:r>
    </w:p>
    <w:p w14:paraId="7B754445" w14:textId="77777777" w:rsidR="00675226" w:rsidRPr="00E51A34" w:rsidRDefault="00675226" w:rsidP="00F67FFB">
      <w:pPr>
        <w:numPr>
          <w:ilvl w:val="1"/>
          <w:numId w:val="4"/>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a majority (at least 70%) of women staff</w:t>
      </w:r>
    </w:p>
    <w:p w14:paraId="5CC908DF" w14:textId="77777777" w:rsidR="00675226" w:rsidRPr="00E51A34" w:rsidRDefault="00675226" w:rsidP="00F67FFB">
      <w:pPr>
        <w:numPr>
          <w:ilvl w:val="1"/>
          <w:numId w:val="4"/>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at least 70% women involved in the governing board/body</w:t>
      </w:r>
    </w:p>
    <w:p w14:paraId="27662BF4" w14:textId="77777777" w:rsidR="00675226" w:rsidRPr="00E51A34" w:rsidRDefault="00675226" w:rsidP="00F67FFB">
      <w:pPr>
        <w:numPr>
          <w:ilvl w:val="1"/>
          <w:numId w:val="4"/>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a stated commitment to women’s rights/gender equality in the organisational mission/vision/values</w:t>
      </w:r>
    </w:p>
    <w:p w14:paraId="15B0FA6C" w14:textId="77777777" w:rsidR="00675226" w:rsidRPr="00E51A34" w:rsidRDefault="00675226" w:rsidP="00F67FFB">
      <w:pPr>
        <w:numPr>
          <w:ilvl w:val="1"/>
          <w:numId w:val="4"/>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At least 70% of programmatic resources must be dedicated to direct programming on women’s rights;</w:t>
      </w:r>
    </w:p>
    <w:p w14:paraId="4183BF5A" w14:textId="77777777" w:rsidR="00675226" w:rsidRPr="00E51A34" w:rsidRDefault="00675226" w:rsidP="00F67FFB">
      <w:pPr>
        <w:numPr>
          <w:ilvl w:val="1"/>
          <w:numId w:val="4"/>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the project applied for will be managed by a woman</w:t>
      </w:r>
    </w:p>
    <w:p w14:paraId="7650A96C" w14:textId="77777777" w:rsidR="00675226" w:rsidRPr="00E51A34" w:rsidRDefault="00675226" w:rsidP="00675226">
      <w:pPr>
        <w:rPr>
          <w:rFonts w:ascii="Tahoma" w:eastAsia="Tahoma" w:hAnsi="Tahoma" w:cs="Tahoma"/>
          <w:sz w:val="20"/>
          <w:szCs w:val="20"/>
        </w:rPr>
      </w:pPr>
      <w:r w:rsidRPr="00E51A34">
        <w:rPr>
          <w:rFonts w:ascii="Tahoma" w:eastAsia="Tahoma" w:hAnsi="Tahoma" w:cs="Tahoma"/>
          <w:sz w:val="20"/>
          <w:szCs w:val="20"/>
        </w:rPr>
        <w:t xml:space="preserve">  </w:t>
      </w:r>
    </w:p>
    <w:p w14:paraId="0F808A40" w14:textId="77777777" w:rsidR="00675226" w:rsidRPr="00E51A34" w:rsidRDefault="00675226" w:rsidP="00F67FFB">
      <w:pPr>
        <w:numPr>
          <w:ilvl w:val="0"/>
          <w:numId w:val="3"/>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 xml:space="preserve">For Ananse and Pamoja grants, we will also consider applications from </w:t>
      </w:r>
      <w:r w:rsidRPr="00E51A34">
        <w:rPr>
          <w:rFonts w:ascii="Tahoma" w:eastAsia="Tahoma" w:hAnsi="Tahoma" w:cs="Tahoma"/>
          <w:b/>
          <w:sz w:val="20"/>
          <w:szCs w:val="20"/>
        </w:rPr>
        <w:t>networks/coalitions</w:t>
      </w:r>
      <w:r w:rsidRPr="00E51A34">
        <w:rPr>
          <w:rFonts w:ascii="Tahoma" w:eastAsia="Tahoma" w:hAnsi="Tahoma" w:cs="Tahoma"/>
          <w:sz w:val="20"/>
          <w:szCs w:val="20"/>
        </w:rPr>
        <w:t xml:space="preserve"> formed by three or more women’s groups. In this case applications will be made by one lead organisation who will be responsible for administering and reporting on use of funds. Funds can only be distributed by the lead to a maximum of 4 named partner/network members who must also be based in the two regions.  </w:t>
      </w:r>
    </w:p>
    <w:p w14:paraId="51447006" w14:textId="77777777" w:rsidR="00675226" w:rsidRPr="00E51A34" w:rsidRDefault="00675226" w:rsidP="00F67FFB">
      <w:pPr>
        <w:numPr>
          <w:ilvl w:val="0"/>
          <w:numId w:val="3"/>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 xml:space="preserve">Organisations must demonstrate their capacity and financial management systems to effectively implement and account for grant funding and programme delivery. </w:t>
      </w:r>
    </w:p>
    <w:p w14:paraId="498A678D" w14:textId="77777777" w:rsidR="00675226" w:rsidRPr="00E51A34" w:rsidRDefault="00675226" w:rsidP="00F67FFB">
      <w:pPr>
        <w:numPr>
          <w:ilvl w:val="0"/>
          <w:numId w:val="3"/>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lastRenderedPageBreak/>
        <w:t>Organisations must have registration status that enables them to receive funds from foreign sources.</w:t>
      </w:r>
    </w:p>
    <w:p w14:paraId="5DB3701A" w14:textId="77777777" w:rsidR="00675226" w:rsidRPr="00E51A34" w:rsidRDefault="00675226" w:rsidP="00F67FFB">
      <w:pPr>
        <w:numPr>
          <w:ilvl w:val="0"/>
          <w:numId w:val="3"/>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 xml:space="preserve">Organisations must have been in existence for at least 3 years. </w:t>
      </w:r>
    </w:p>
    <w:p w14:paraId="5FA8BB10" w14:textId="77777777" w:rsidR="00B961C9" w:rsidRPr="00E51A34" w:rsidRDefault="00B961C9" w:rsidP="00AD48FD">
      <w:pPr>
        <w:rPr>
          <w:rFonts w:ascii="Tahoma" w:hAnsi="Tahoma" w:cs="Tahoma"/>
          <w:i/>
          <w:sz w:val="20"/>
          <w:szCs w:val="20"/>
        </w:rPr>
      </w:pPr>
    </w:p>
    <w:p w14:paraId="0A7667F2" w14:textId="7331FC4B" w:rsidR="000B5407" w:rsidRPr="00E51A34" w:rsidRDefault="000B5407" w:rsidP="00AD48FD">
      <w:pPr>
        <w:rPr>
          <w:rFonts w:ascii="Tahoma" w:hAnsi="Tahoma" w:cs="Tahoma"/>
          <w:sz w:val="20"/>
          <w:szCs w:val="20"/>
        </w:rPr>
      </w:pPr>
      <w:r w:rsidRPr="00E51A34">
        <w:rPr>
          <w:rFonts w:ascii="Tahoma" w:hAnsi="Tahoma" w:cs="Tahoma"/>
          <w:i/>
          <w:sz w:val="20"/>
          <w:szCs w:val="20"/>
        </w:rPr>
        <w:t>Political parties, religious institutions,</w:t>
      </w:r>
      <w:r w:rsidR="00337091" w:rsidRPr="00E51A34">
        <w:rPr>
          <w:rFonts w:ascii="Tahoma" w:hAnsi="Tahoma" w:cs="Tahoma"/>
          <w:i/>
          <w:sz w:val="20"/>
          <w:szCs w:val="20"/>
        </w:rPr>
        <w:t xml:space="preserve"> government bodies,</w:t>
      </w:r>
      <w:r w:rsidRPr="00E51A34">
        <w:rPr>
          <w:rFonts w:ascii="Tahoma" w:hAnsi="Tahoma" w:cs="Tahoma"/>
          <w:i/>
          <w:sz w:val="20"/>
          <w:szCs w:val="20"/>
        </w:rPr>
        <w:t xml:space="preserve"> for-profit organisations and individuals are </w:t>
      </w:r>
      <w:r w:rsidRPr="00E51A34">
        <w:rPr>
          <w:rFonts w:ascii="Tahoma" w:hAnsi="Tahoma" w:cs="Tahoma"/>
          <w:i/>
          <w:sz w:val="20"/>
          <w:szCs w:val="20"/>
          <w:u w:val="single"/>
        </w:rPr>
        <w:t xml:space="preserve">not </w:t>
      </w:r>
      <w:r w:rsidRPr="00E51A34">
        <w:rPr>
          <w:rFonts w:ascii="Tahoma" w:hAnsi="Tahoma" w:cs="Tahoma"/>
          <w:i/>
          <w:sz w:val="20"/>
          <w:szCs w:val="20"/>
        </w:rPr>
        <w:t>eligible for funding either independently or as part of a consortium.</w:t>
      </w:r>
    </w:p>
    <w:p w14:paraId="5E0D6CA0" w14:textId="259B0F28" w:rsidR="00C73BC4" w:rsidRPr="00E51A34" w:rsidRDefault="00C73BC4" w:rsidP="003C4ACF">
      <w:pPr>
        <w:pStyle w:val="Heading2"/>
        <w:rPr>
          <w:rFonts w:ascii="Tahoma" w:hAnsi="Tahoma" w:cs="Tahoma"/>
        </w:rPr>
      </w:pPr>
      <w:bookmarkStart w:id="6" w:name="_Toc472086912"/>
      <w:r w:rsidRPr="00E51A34">
        <w:rPr>
          <w:rFonts w:ascii="Tahoma" w:hAnsi="Tahoma" w:cs="Tahoma"/>
        </w:rPr>
        <w:t xml:space="preserve">Eligible </w:t>
      </w:r>
      <w:r w:rsidR="003C4987" w:rsidRPr="00E51A34">
        <w:rPr>
          <w:rFonts w:ascii="Tahoma" w:hAnsi="Tahoma" w:cs="Tahoma"/>
        </w:rPr>
        <w:t>activities</w:t>
      </w:r>
      <w:bookmarkEnd w:id="6"/>
    </w:p>
    <w:p w14:paraId="2D25128D" w14:textId="77777777" w:rsidR="002F682A" w:rsidRPr="00E51A34" w:rsidRDefault="002F682A" w:rsidP="00AC0BE6">
      <w:pPr>
        <w:rPr>
          <w:rFonts w:ascii="Tahoma" w:hAnsi="Tahoma" w:cs="Tahoma"/>
          <w:sz w:val="22"/>
          <w:szCs w:val="22"/>
        </w:rPr>
      </w:pPr>
    </w:p>
    <w:p w14:paraId="02458092" w14:textId="7F85CCEA" w:rsidR="009D6F7A" w:rsidRPr="00E51A34" w:rsidRDefault="00B349C9" w:rsidP="00AC0BE6">
      <w:pPr>
        <w:rPr>
          <w:rFonts w:ascii="Tahoma" w:hAnsi="Tahoma" w:cs="Tahoma"/>
          <w:b/>
          <w:sz w:val="20"/>
          <w:szCs w:val="20"/>
        </w:rPr>
      </w:pPr>
      <w:r w:rsidRPr="00E51A34">
        <w:rPr>
          <w:rFonts w:ascii="Tahoma" w:hAnsi="Tahoma" w:cs="Tahoma"/>
          <w:b/>
          <w:sz w:val="20"/>
          <w:szCs w:val="20"/>
        </w:rPr>
        <w:t xml:space="preserve">Activities to be considered for </w:t>
      </w:r>
      <w:r w:rsidR="00A20FB2" w:rsidRPr="00E51A34">
        <w:rPr>
          <w:rFonts w:ascii="Tahoma" w:hAnsi="Tahoma" w:cs="Tahoma"/>
          <w:b/>
          <w:sz w:val="20"/>
          <w:szCs w:val="20"/>
        </w:rPr>
        <w:t>funding</w:t>
      </w:r>
      <w:r w:rsidR="00D941C4" w:rsidRPr="00E51A34">
        <w:rPr>
          <w:rFonts w:ascii="Tahoma" w:hAnsi="Tahoma" w:cs="Tahoma"/>
          <w:b/>
          <w:sz w:val="20"/>
          <w:szCs w:val="20"/>
        </w:rPr>
        <w:t xml:space="preserve">: </w:t>
      </w:r>
    </w:p>
    <w:p w14:paraId="070D2F59" w14:textId="77777777" w:rsidR="00B961C9" w:rsidRPr="00E51A34" w:rsidRDefault="00B961C9" w:rsidP="00F67FFB">
      <w:pPr>
        <w:numPr>
          <w:ilvl w:val="0"/>
          <w:numId w:val="3"/>
        </w:numPr>
        <w:pBdr>
          <w:top w:val="nil"/>
          <w:left w:val="nil"/>
          <w:bottom w:val="nil"/>
          <w:right w:val="nil"/>
          <w:between w:val="nil"/>
        </w:pBdr>
        <w:spacing w:after="160" w:line="259" w:lineRule="auto"/>
        <w:contextualSpacing/>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Campaigns to advance specific women’s rights agendas, law and policy change</w:t>
      </w:r>
    </w:p>
    <w:p w14:paraId="1FDE26B3" w14:textId="77777777" w:rsidR="00B961C9" w:rsidRPr="00E51A34" w:rsidRDefault="00B961C9" w:rsidP="00F67FFB">
      <w:pPr>
        <w:numPr>
          <w:ilvl w:val="0"/>
          <w:numId w:val="3"/>
        </w:numPr>
        <w:pBdr>
          <w:top w:val="nil"/>
          <w:left w:val="nil"/>
          <w:bottom w:val="nil"/>
          <w:right w:val="nil"/>
          <w:between w:val="nil"/>
        </w:pBdr>
        <w:spacing w:after="160" w:line="259" w:lineRule="auto"/>
        <w:contextualSpacing/>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Training to build core advocacy/social change skills</w:t>
      </w:r>
    </w:p>
    <w:p w14:paraId="287F71CD" w14:textId="77777777" w:rsidR="00B961C9" w:rsidRPr="00E51A34" w:rsidRDefault="00B961C9" w:rsidP="00F67FFB">
      <w:pPr>
        <w:numPr>
          <w:ilvl w:val="0"/>
          <w:numId w:val="3"/>
        </w:numPr>
        <w:pBdr>
          <w:top w:val="nil"/>
          <w:left w:val="nil"/>
          <w:bottom w:val="nil"/>
          <w:right w:val="nil"/>
          <w:between w:val="nil"/>
        </w:pBdr>
        <w:spacing w:after="160" w:line="259" w:lineRule="auto"/>
        <w:contextualSpacing/>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 xml:space="preserve">Media and communications campaigns </w:t>
      </w:r>
    </w:p>
    <w:p w14:paraId="3C3D97F8" w14:textId="77777777" w:rsidR="00B961C9" w:rsidRPr="00E51A34" w:rsidRDefault="00B961C9" w:rsidP="00F67FFB">
      <w:pPr>
        <w:numPr>
          <w:ilvl w:val="0"/>
          <w:numId w:val="3"/>
        </w:numPr>
        <w:pBdr>
          <w:top w:val="nil"/>
          <w:left w:val="nil"/>
          <w:bottom w:val="nil"/>
          <w:right w:val="nil"/>
          <w:between w:val="nil"/>
        </w:pBdr>
        <w:spacing w:after="160" w:line="259" w:lineRule="auto"/>
        <w:contextualSpacing/>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Action-research and knowledge production with an advocacy focus</w:t>
      </w:r>
    </w:p>
    <w:p w14:paraId="21FBDE69" w14:textId="77777777" w:rsidR="00B961C9" w:rsidRPr="00E51A34" w:rsidRDefault="00B961C9" w:rsidP="00F67FFB">
      <w:pPr>
        <w:numPr>
          <w:ilvl w:val="0"/>
          <w:numId w:val="3"/>
        </w:numPr>
        <w:pBdr>
          <w:top w:val="nil"/>
          <w:left w:val="nil"/>
          <w:bottom w:val="nil"/>
          <w:right w:val="nil"/>
          <w:between w:val="nil"/>
        </w:pBdr>
        <w:spacing w:after="160" w:line="259" w:lineRule="auto"/>
        <w:contextualSpacing/>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Alliance and movement-building</w:t>
      </w:r>
    </w:p>
    <w:p w14:paraId="56902966" w14:textId="77777777" w:rsidR="00B961C9" w:rsidRPr="00E51A34" w:rsidRDefault="00B961C9" w:rsidP="00F67FFB">
      <w:pPr>
        <w:numPr>
          <w:ilvl w:val="0"/>
          <w:numId w:val="3"/>
        </w:numPr>
        <w:pBdr>
          <w:top w:val="nil"/>
          <w:left w:val="nil"/>
          <w:bottom w:val="nil"/>
          <w:right w:val="nil"/>
          <w:between w:val="nil"/>
        </w:pBdr>
        <w:spacing w:after="160" w:line="259" w:lineRule="auto"/>
        <w:contextualSpacing/>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Strategic litigation</w:t>
      </w:r>
    </w:p>
    <w:p w14:paraId="7391244A" w14:textId="77777777" w:rsidR="00B961C9" w:rsidRPr="00E51A34" w:rsidRDefault="00B961C9" w:rsidP="00F67FFB">
      <w:pPr>
        <w:numPr>
          <w:ilvl w:val="0"/>
          <w:numId w:val="3"/>
        </w:numPr>
        <w:pBdr>
          <w:top w:val="nil"/>
          <w:left w:val="nil"/>
          <w:bottom w:val="nil"/>
          <w:right w:val="nil"/>
          <w:between w:val="nil"/>
        </w:pBdr>
        <w:spacing w:after="160" w:line="259" w:lineRule="auto"/>
        <w:contextualSpacing/>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Engaging the regional/international human rights system and international treaty bodies</w:t>
      </w:r>
    </w:p>
    <w:p w14:paraId="222A1CDA" w14:textId="77777777" w:rsidR="00B961C9" w:rsidRPr="00E51A34" w:rsidRDefault="00B961C9" w:rsidP="00F67FFB">
      <w:pPr>
        <w:numPr>
          <w:ilvl w:val="0"/>
          <w:numId w:val="3"/>
        </w:numPr>
        <w:pBdr>
          <w:top w:val="nil"/>
          <w:left w:val="nil"/>
          <w:bottom w:val="nil"/>
          <w:right w:val="nil"/>
          <w:between w:val="nil"/>
        </w:pBdr>
        <w:spacing w:after="160" w:line="259" w:lineRule="auto"/>
        <w:contextualSpacing/>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Interventions to change public attitudes on key policy issues</w:t>
      </w:r>
    </w:p>
    <w:p w14:paraId="68778EB6" w14:textId="77777777" w:rsidR="00351D5B" w:rsidRPr="00E51A34" w:rsidRDefault="00351D5B" w:rsidP="00AC0BE6">
      <w:pPr>
        <w:spacing w:line="276" w:lineRule="auto"/>
        <w:rPr>
          <w:rFonts w:ascii="Tahoma" w:hAnsi="Tahoma" w:cs="Tahoma"/>
          <w:sz w:val="20"/>
          <w:szCs w:val="20"/>
        </w:rPr>
      </w:pPr>
      <w:r w:rsidRPr="00E51A34">
        <w:rPr>
          <w:rFonts w:ascii="Tahoma" w:hAnsi="Tahoma" w:cs="Tahoma"/>
          <w:sz w:val="20"/>
          <w:szCs w:val="20"/>
        </w:rPr>
        <w:t xml:space="preserve"> </w:t>
      </w:r>
    </w:p>
    <w:p w14:paraId="4DAAD5CD" w14:textId="4B697D5C" w:rsidR="00351D5B" w:rsidRPr="00E51A34" w:rsidRDefault="00A20FB2" w:rsidP="00AC0BE6">
      <w:pPr>
        <w:spacing w:line="276" w:lineRule="auto"/>
        <w:rPr>
          <w:rFonts w:ascii="Tahoma" w:hAnsi="Tahoma" w:cs="Tahoma"/>
          <w:b/>
          <w:sz w:val="20"/>
          <w:szCs w:val="20"/>
        </w:rPr>
      </w:pPr>
      <w:r w:rsidRPr="00E51A34">
        <w:rPr>
          <w:rFonts w:ascii="Tahoma" w:hAnsi="Tahoma" w:cs="Tahoma"/>
          <w:b/>
          <w:sz w:val="20"/>
          <w:szCs w:val="20"/>
        </w:rPr>
        <w:t xml:space="preserve">Activities </w:t>
      </w:r>
      <w:r w:rsidRPr="00E51A34">
        <w:rPr>
          <w:rFonts w:ascii="Tahoma" w:hAnsi="Tahoma" w:cs="Tahoma"/>
          <w:b/>
          <w:sz w:val="20"/>
          <w:szCs w:val="20"/>
          <w:u w:val="single"/>
        </w:rPr>
        <w:t>not</w:t>
      </w:r>
      <w:r w:rsidRPr="00E51A34">
        <w:rPr>
          <w:rFonts w:ascii="Tahoma" w:hAnsi="Tahoma" w:cs="Tahoma"/>
          <w:b/>
          <w:sz w:val="20"/>
          <w:szCs w:val="20"/>
        </w:rPr>
        <w:t xml:space="preserve"> eligible for funding</w:t>
      </w:r>
      <w:r w:rsidR="00351D5B" w:rsidRPr="00E51A34">
        <w:rPr>
          <w:rFonts w:ascii="Tahoma" w:hAnsi="Tahoma" w:cs="Tahoma"/>
          <w:b/>
          <w:sz w:val="20"/>
          <w:szCs w:val="20"/>
        </w:rPr>
        <w:t>:</w:t>
      </w:r>
    </w:p>
    <w:p w14:paraId="2524B7E5" w14:textId="77777777" w:rsidR="00B961C9" w:rsidRPr="00E51A34" w:rsidRDefault="00B961C9" w:rsidP="00F67FFB">
      <w:pPr>
        <w:numPr>
          <w:ilvl w:val="0"/>
          <w:numId w:val="3"/>
        </w:numPr>
        <w:pBdr>
          <w:top w:val="nil"/>
          <w:left w:val="nil"/>
          <w:bottom w:val="nil"/>
          <w:right w:val="nil"/>
          <w:between w:val="nil"/>
        </w:pBdr>
        <w:spacing w:after="160"/>
        <w:contextualSpacing/>
        <w:rPr>
          <w:rFonts w:ascii="Tahoma" w:eastAsia="Tahoma" w:hAnsi="Tahoma" w:cs="Tahoma"/>
          <w:sz w:val="20"/>
          <w:szCs w:val="20"/>
        </w:rPr>
      </w:pPr>
      <w:bookmarkStart w:id="7" w:name="_Toc472086913"/>
      <w:r w:rsidRPr="00E51A34">
        <w:rPr>
          <w:rFonts w:ascii="Tahoma" w:eastAsia="Tahoma" w:hAnsi="Tahoma" w:cs="Tahoma"/>
          <w:sz w:val="20"/>
          <w:szCs w:val="20"/>
        </w:rPr>
        <w:t xml:space="preserve">Direct service provision </w:t>
      </w:r>
    </w:p>
    <w:p w14:paraId="0CAF87EA" w14:textId="77777777" w:rsidR="00B961C9" w:rsidRPr="00E51A34" w:rsidRDefault="00B961C9" w:rsidP="00F67FFB">
      <w:pPr>
        <w:numPr>
          <w:ilvl w:val="0"/>
          <w:numId w:val="3"/>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Party-political campaigning</w:t>
      </w:r>
    </w:p>
    <w:p w14:paraId="44FDC691" w14:textId="77777777" w:rsidR="00B961C9" w:rsidRPr="00E51A34" w:rsidRDefault="00B961C9" w:rsidP="00F67FFB">
      <w:pPr>
        <w:numPr>
          <w:ilvl w:val="0"/>
          <w:numId w:val="3"/>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Activities aimed at proselytizing/religious conversion</w:t>
      </w:r>
    </w:p>
    <w:p w14:paraId="56B7891C" w14:textId="77777777" w:rsidR="00B961C9" w:rsidRPr="00E51A34" w:rsidRDefault="00B961C9" w:rsidP="00F67FFB">
      <w:pPr>
        <w:numPr>
          <w:ilvl w:val="0"/>
          <w:numId w:val="3"/>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Scholarships</w:t>
      </w:r>
    </w:p>
    <w:p w14:paraId="5A13C83E" w14:textId="77777777" w:rsidR="00B961C9" w:rsidRPr="00E51A34" w:rsidRDefault="00B961C9" w:rsidP="00F67FFB">
      <w:pPr>
        <w:numPr>
          <w:ilvl w:val="0"/>
          <w:numId w:val="3"/>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Construction and purchase of buildings and land</w:t>
      </w:r>
    </w:p>
    <w:p w14:paraId="43F5E0E5" w14:textId="77777777" w:rsidR="00B961C9" w:rsidRPr="00E51A34" w:rsidRDefault="00B961C9" w:rsidP="00F67FFB">
      <w:pPr>
        <w:numPr>
          <w:ilvl w:val="0"/>
          <w:numId w:val="3"/>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Profit and income generating activities and microfinance</w:t>
      </w:r>
    </w:p>
    <w:p w14:paraId="5CDDC02F" w14:textId="3B87B682" w:rsidR="00B961C9" w:rsidRPr="00E51A34" w:rsidRDefault="00B961C9" w:rsidP="00F67FFB">
      <w:pPr>
        <w:numPr>
          <w:ilvl w:val="0"/>
          <w:numId w:val="3"/>
        </w:numPr>
        <w:pBdr>
          <w:top w:val="nil"/>
          <w:left w:val="nil"/>
          <w:bottom w:val="nil"/>
          <w:right w:val="nil"/>
          <w:between w:val="nil"/>
        </w:pBdr>
        <w:spacing w:after="160"/>
        <w:contextualSpacing/>
        <w:rPr>
          <w:rFonts w:ascii="Tahoma" w:eastAsia="Tahoma" w:hAnsi="Tahoma" w:cs="Tahoma"/>
          <w:sz w:val="20"/>
          <w:szCs w:val="20"/>
        </w:rPr>
      </w:pPr>
      <w:r w:rsidRPr="00E51A34">
        <w:rPr>
          <w:rFonts w:ascii="Tahoma" w:eastAsia="Tahoma" w:hAnsi="Tahoma" w:cs="Tahoma"/>
          <w:sz w:val="20"/>
          <w:szCs w:val="20"/>
        </w:rPr>
        <w:t>Grantmaking (Note that grantmaking activities will not be eligible; however, funded networks or consortia will be eligible to disburse funds within their network /consortium for up to 4 partners for programmatic activities).</w:t>
      </w:r>
    </w:p>
    <w:p w14:paraId="0072D1C0" w14:textId="2AEFE9A6" w:rsidR="000D27FB" w:rsidRPr="00E51A34" w:rsidRDefault="00F86A84" w:rsidP="00AC0BE6">
      <w:pPr>
        <w:pStyle w:val="Heading1"/>
        <w:rPr>
          <w:rFonts w:ascii="Tahoma" w:hAnsi="Tahoma" w:cs="Tahoma"/>
          <w:sz w:val="22"/>
          <w:szCs w:val="22"/>
        </w:rPr>
      </w:pPr>
      <w:r w:rsidRPr="00E51A34">
        <w:rPr>
          <w:rFonts w:ascii="Tahoma" w:hAnsi="Tahoma" w:cs="Tahoma"/>
          <w:sz w:val="22"/>
          <w:szCs w:val="22"/>
        </w:rPr>
        <w:t xml:space="preserve">V. </w:t>
      </w:r>
      <w:r w:rsidR="000D27FB" w:rsidRPr="00E51A34">
        <w:rPr>
          <w:rFonts w:ascii="Tahoma" w:hAnsi="Tahoma" w:cs="Tahoma"/>
          <w:sz w:val="22"/>
          <w:szCs w:val="22"/>
        </w:rPr>
        <w:t>REVIEW AND DECISION MAKING PROCESS</w:t>
      </w:r>
      <w:bookmarkEnd w:id="7"/>
    </w:p>
    <w:p w14:paraId="4FE57343" w14:textId="77777777" w:rsidR="0008034D" w:rsidRPr="00E51A34" w:rsidRDefault="0008034D" w:rsidP="00AC0BE6">
      <w:pPr>
        <w:rPr>
          <w:rFonts w:ascii="Tahoma" w:hAnsi="Tahoma" w:cs="Tahoma"/>
          <w:sz w:val="22"/>
          <w:szCs w:val="22"/>
        </w:rPr>
      </w:pPr>
    </w:p>
    <w:p w14:paraId="7DF1415D" w14:textId="77777777" w:rsidR="00337091" w:rsidRPr="00E51A34" w:rsidRDefault="00337091" w:rsidP="00AC0BE6">
      <w:pPr>
        <w:rPr>
          <w:rFonts w:ascii="Tahoma" w:hAnsi="Tahoma" w:cs="Tahoma"/>
          <w:sz w:val="20"/>
          <w:szCs w:val="20"/>
        </w:rPr>
      </w:pPr>
    </w:p>
    <w:p w14:paraId="65299906" w14:textId="34D8CAA9" w:rsidR="00B961C9" w:rsidRPr="00E51A34" w:rsidRDefault="00B961C9" w:rsidP="00F67FFB">
      <w:pPr>
        <w:numPr>
          <w:ilvl w:val="0"/>
          <w:numId w:val="5"/>
        </w:numPr>
        <w:pBdr>
          <w:top w:val="nil"/>
          <w:left w:val="nil"/>
          <w:bottom w:val="nil"/>
          <w:right w:val="nil"/>
          <w:between w:val="nil"/>
        </w:pBdr>
        <w:spacing w:after="200" w:line="259" w:lineRule="auto"/>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All</w:t>
      </w:r>
      <w:r w:rsidRPr="00E51A34">
        <w:rPr>
          <w:rFonts w:ascii="Tahoma" w:eastAsia="Tahoma" w:hAnsi="Tahoma" w:cs="Tahoma"/>
          <w:b/>
          <w:color w:val="000000"/>
          <w:sz w:val="20"/>
          <w:szCs w:val="20"/>
          <w:lang w:eastAsia="en-GB"/>
        </w:rPr>
        <w:t xml:space="preserve"> </w:t>
      </w:r>
      <w:r w:rsidRPr="00E51A34">
        <w:rPr>
          <w:rFonts w:ascii="Tahoma" w:eastAsia="Tahoma" w:hAnsi="Tahoma" w:cs="Tahoma"/>
          <w:color w:val="000000"/>
          <w:sz w:val="20"/>
          <w:szCs w:val="20"/>
          <w:lang w:eastAsia="en-GB"/>
        </w:rPr>
        <w:t xml:space="preserve">grant applications must be submitted to AWDF </w:t>
      </w:r>
      <w:r w:rsidRPr="00E51A34">
        <w:rPr>
          <w:rFonts w:ascii="Tahoma" w:eastAsia="Tahoma" w:hAnsi="Tahoma" w:cs="Tahoma"/>
          <w:b/>
          <w:color w:val="000000"/>
          <w:sz w:val="20"/>
          <w:szCs w:val="20"/>
          <w:lang w:eastAsia="en-GB"/>
        </w:rPr>
        <w:t>by 24 July 2018.</w:t>
      </w:r>
      <w:r w:rsidRPr="00E51A34">
        <w:rPr>
          <w:rFonts w:ascii="Tahoma" w:eastAsia="Tahoma" w:hAnsi="Tahoma" w:cs="Tahoma"/>
          <w:color w:val="000000"/>
          <w:sz w:val="20"/>
          <w:szCs w:val="20"/>
          <w:lang w:eastAsia="en-GB"/>
        </w:rPr>
        <w:t xml:space="preserve"> AWDF will acknowledge receipt by email for all applications received.</w:t>
      </w:r>
    </w:p>
    <w:p w14:paraId="7BE3862A" w14:textId="14D3A4C8" w:rsidR="00006799" w:rsidRPr="00E51A34" w:rsidRDefault="00006799" w:rsidP="00F67FFB">
      <w:pPr>
        <w:numPr>
          <w:ilvl w:val="0"/>
          <w:numId w:val="5"/>
        </w:numPr>
        <w:pBdr>
          <w:top w:val="nil"/>
          <w:left w:val="nil"/>
          <w:bottom w:val="nil"/>
          <w:right w:val="nil"/>
          <w:between w:val="nil"/>
        </w:pBdr>
        <w:spacing w:after="200" w:line="259" w:lineRule="auto"/>
        <w:rPr>
          <w:rFonts w:ascii="Tahoma" w:eastAsia="Tahoma" w:hAnsi="Tahoma" w:cs="Tahoma"/>
          <w:i/>
          <w:color w:val="000000"/>
          <w:sz w:val="20"/>
          <w:szCs w:val="20"/>
          <w:lang w:eastAsia="en-GB"/>
        </w:rPr>
      </w:pPr>
      <w:r w:rsidRPr="00E51A34">
        <w:rPr>
          <w:rFonts w:ascii="Tahoma" w:eastAsia="Tahoma" w:hAnsi="Tahoma" w:cs="Tahoma"/>
          <w:i/>
          <w:color w:val="000000"/>
          <w:sz w:val="20"/>
          <w:szCs w:val="20"/>
          <w:lang w:eastAsia="en-GB"/>
        </w:rPr>
        <w:t xml:space="preserve">Please ensure that you </w:t>
      </w:r>
      <w:r w:rsidRPr="00E51A34">
        <w:rPr>
          <w:rFonts w:ascii="Tahoma" w:eastAsia="Tahoma" w:hAnsi="Tahoma" w:cs="Tahoma"/>
          <w:b/>
          <w:i/>
          <w:color w:val="000000"/>
          <w:sz w:val="20"/>
          <w:szCs w:val="20"/>
          <w:u w:val="single"/>
          <w:lang w:eastAsia="en-GB"/>
        </w:rPr>
        <w:t>only</w:t>
      </w:r>
      <w:r w:rsidRPr="00E51A34">
        <w:rPr>
          <w:rFonts w:ascii="Tahoma" w:eastAsia="Tahoma" w:hAnsi="Tahoma" w:cs="Tahoma"/>
          <w:i/>
          <w:color w:val="000000"/>
          <w:sz w:val="20"/>
          <w:szCs w:val="20"/>
          <w:lang w:eastAsia="en-GB"/>
        </w:rPr>
        <w:t xml:space="preserve"> use the correct, updated application forms. Using the wrong form (including forms from previous </w:t>
      </w:r>
      <w:r w:rsidR="00AA2CF4" w:rsidRPr="00E51A34">
        <w:rPr>
          <w:rFonts w:ascii="Tahoma" w:eastAsia="Tahoma" w:hAnsi="Tahoma" w:cs="Tahoma"/>
          <w:i/>
          <w:color w:val="000000"/>
          <w:sz w:val="20"/>
          <w:szCs w:val="20"/>
          <w:lang w:eastAsia="en-GB"/>
        </w:rPr>
        <w:t>rounds) could</w:t>
      </w:r>
      <w:r w:rsidRPr="00E51A34">
        <w:rPr>
          <w:rFonts w:ascii="Tahoma" w:eastAsia="Tahoma" w:hAnsi="Tahoma" w:cs="Tahoma"/>
          <w:i/>
          <w:color w:val="000000"/>
          <w:sz w:val="20"/>
          <w:szCs w:val="20"/>
          <w:lang w:eastAsia="en-GB"/>
        </w:rPr>
        <w:t xml:space="preserve"> disqualify you.</w:t>
      </w:r>
    </w:p>
    <w:p w14:paraId="07E05CE4" w14:textId="77777777" w:rsidR="00B961C9" w:rsidRPr="00E51A34" w:rsidRDefault="00B961C9" w:rsidP="00F67FFB">
      <w:pPr>
        <w:numPr>
          <w:ilvl w:val="0"/>
          <w:numId w:val="5"/>
        </w:numPr>
        <w:pBdr>
          <w:top w:val="nil"/>
          <w:left w:val="nil"/>
          <w:bottom w:val="nil"/>
          <w:right w:val="nil"/>
          <w:between w:val="nil"/>
        </w:pBdr>
        <w:spacing w:after="200" w:line="259" w:lineRule="auto"/>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 xml:space="preserve">Submitted applications will be reviewed by AWDF’s experienced Programme Officers and managers with the support of qualified regional technical advisors. The final decision for the grants will be made by the AWDF board with contributions from technical advisors.  </w:t>
      </w:r>
    </w:p>
    <w:p w14:paraId="455844E9" w14:textId="167823F5" w:rsidR="00B961C9" w:rsidRPr="00E51A34" w:rsidRDefault="00B961C9" w:rsidP="00F67FFB">
      <w:pPr>
        <w:numPr>
          <w:ilvl w:val="0"/>
          <w:numId w:val="5"/>
        </w:numPr>
        <w:pBdr>
          <w:top w:val="nil"/>
          <w:left w:val="nil"/>
          <w:bottom w:val="nil"/>
          <w:right w:val="nil"/>
          <w:between w:val="nil"/>
        </w:pBdr>
        <w:spacing w:after="200" w:line="259" w:lineRule="auto"/>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Short-listing, review and selection process will take approximately 1</w:t>
      </w:r>
      <w:r w:rsidR="00006799" w:rsidRPr="00E51A34">
        <w:rPr>
          <w:rFonts w:ascii="Tahoma" w:eastAsia="Tahoma" w:hAnsi="Tahoma" w:cs="Tahoma"/>
          <w:color w:val="000000"/>
          <w:sz w:val="20"/>
          <w:szCs w:val="20"/>
          <w:lang w:eastAsia="en-GB"/>
        </w:rPr>
        <w:t>5</w:t>
      </w:r>
      <w:r w:rsidRPr="00E51A34">
        <w:rPr>
          <w:rFonts w:ascii="Tahoma" w:eastAsia="Tahoma" w:hAnsi="Tahoma" w:cs="Tahoma"/>
          <w:color w:val="000000"/>
          <w:sz w:val="20"/>
          <w:szCs w:val="20"/>
          <w:lang w:eastAsia="en-GB"/>
        </w:rPr>
        <w:t xml:space="preserve"> weeks from the submission deadline. Successful applicants will be contacted the week of 19 November 2018.</w:t>
      </w:r>
    </w:p>
    <w:p w14:paraId="38EA4060" w14:textId="6B1D0E78" w:rsidR="00B961C9" w:rsidRPr="00E51A34" w:rsidRDefault="00B961C9" w:rsidP="00F67FFB">
      <w:pPr>
        <w:numPr>
          <w:ilvl w:val="0"/>
          <w:numId w:val="5"/>
        </w:numPr>
        <w:pBdr>
          <w:top w:val="nil"/>
          <w:left w:val="nil"/>
          <w:bottom w:val="nil"/>
          <w:right w:val="nil"/>
          <w:between w:val="nil"/>
        </w:pBdr>
        <w:spacing w:after="200" w:line="259" w:lineRule="auto"/>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Grants will be disbursed in January 2019</w:t>
      </w:r>
    </w:p>
    <w:p w14:paraId="66586D51" w14:textId="77777777" w:rsidR="00B961C9" w:rsidRPr="00E51A34" w:rsidRDefault="00B961C9" w:rsidP="00F67FFB">
      <w:pPr>
        <w:numPr>
          <w:ilvl w:val="0"/>
          <w:numId w:val="5"/>
        </w:numPr>
        <w:pBdr>
          <w:top w:val="nil"/>
          <w:left w:val="nil"/>
          <w:bottom w:val="nil"/>
          <w:right w:val="nil"/>
          <w:between w:val="nil"/>
        </w:pBdr>
        <w:spacing w:after="200" w:line="259" w:lineRule="auto"/>
        <w:rPr>
          <w:rFonts w:ascii="Tahoma" w:eastAsia="Tahoma" w:hAnsi="Tahoma" w:cs="Tahoma"/>
          <w:color w:val="000000"/>
          <w:sz w:val="20"/>
          <w:szCs w:val="20"/>
          <w:lang w:eastAsia="en-GB"/>
        </w:rPr>
      </w:pPr>
      <w:r w:rsidRPr="00E51A34">
        <w:rPr>
          <w:rFonts w:ascii="Tahoma" w:eastAsia="Tahoma" w:hAnsi="Tahoma" w:cs="Tahoma"/>
          <w:color w:val="000000"/>
          <w:sz w:val="20"/>
          <w:szCs w:val="20"/>
          <w:lang w:eastAsia="en-GB"/>
        </w:rPr>
        <w:t xml:space="preserve">Note that we are </w:t>
      </w:r>
      <w:r w:rsidRPr="00E51A34">
        <w:rPr>
          <w:rFonts w:ascii="Tahoma" w:eastAsia="Tahoma" w:hAnsi="Tahoma" w:cs="Tahoma"/>
          <w:b/>
          <w:color w:val="000000"/>
          <w:sz w:val="20"/>
          <w:szCs w:val="20"/>
          <w:lang w:eastAsia="en-GB"/>
        </w:rPr>
        <w:t xml:space="preserve">not </w:t>
      </w:r>
      <w:r w:rsidRPr="00E51A34">
        <w:rPr>
          <w:rFonts w:ascii="Tahoma" w:eastAsia="Tahoma" w:hAnsi="Tahoma" w:cs="Tahoma"/>
          <w:color w:val="000000"/>
          <w:sz w:val="20"/>
          <w:szCs w:val="20"/>
          <w:lang w:eastAsia="en-GB"/>
        </w:rPr>
        <w:t xml:space="preserve">able to provide feedback on individual applications. </w:t>
      </w:r>
    </w:p>
    <w:p w14:paraId="421F4DDE" w14:textId="77777777" w:rsidR="00141E80" w:rsidRPr="00E51A34" w:rsidRDefault="00141E80" w:rsidP="00F656EE">
      <w:pPr>
        <w:pStyle w:val="ListParagraph"/>
        <w:rPr>
          <w:rFonts w:ascii="Tahoma" w:hAnsi="Tahoma" w:cs="Tahoma"/>
          <w:sz w:val="20"/>
          <w:szCs w:val="20"/>
        </w:rPr>
      </w:pPr>
    </w:p>
    <w:p w14:paraId="226822F6" w14:textId="4D07D88C" w:rsidR="00F656EE" w:rsidRPr="00671876" w:rsidRDefault="00F656EE" w:rsidP="00F656EE">
      <w:pPr>
        <w:pStyle w:val="ListParagraph"/>
        <w:ind w:left="360"/>
        <w:rPr>
          <w:rFonts w:ascii="Tahoma" w:hAnsi="Tahoma" w:cs="Tahoma"/>
          <w:sz w:val="20"/>
          <w:szCs w:val="20"/>
        </w:rPr>
      </w:pPr>
      <w:r w:rsidRPr="00E51A34">
        <w:rPr>
          <w:rFonts w:ascii="Tahoma" w:hAnsi="Tahoma" w:cs="Tahoma"/>
          <w:sz w:val="20"/>
          <w:szCs w:val="20"/>
        </w:rPr>
        <w:t>/end</w:t>
      </w:r>
      <w:bookmarkStart w:id="8" w:name="_GoBack"/>
      <w:bookmarkEnd w:id="8"/>
    </w:p>
    <w:sectPr w:rsidR="00F656EE" w:rsidRPr="00671876" w:rsidSect="006B5409">
      <w:footerReference w:type="even" r:id="rId19"/>
      <w:footerReference w:type="default" r:id="rId2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6EC1A" w14:textId="77777777" w:rsidR="001F666F" w:rsidRDefault="001F666F" w:rsidP="00F403A0">
      <w:r>
        <w:separator/>
      </w:r>
    </w:p>
  </w:endnote>
  <w:endnote w:type="continuationSeparator" w:id="0">
    <w:p w14:paraId="17354083" w14:textId="77777777" w:rsidR="001F666F" w:rsidRDefault="001F666F" w:rsidP="00F4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D113F" w14:textId="77777777" w:rsidR="000A51A2" w:rsidRDefault="000A51A2" w:rsidP="00CA0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B7FAA" w14:textId="77777777" w:rsidR="000A51A2" w:rsidRDefault="000A51A2" w:rsidP="00F403A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B853" w14:textId="7DE0E6F8" w:rsidR="000A51A2" w:rsidRDefault="000A51A2" w:rsidP="00CA0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1A34">
      <w:rPr>
        <w:rStyle w:val="PageNumber"/>
        <w:noProof/>
      </w:rPr>
      <w:t>2</w:t>
    </w:r>
    <w:r>
      <w:rPr>
        <w:rStyle w:val="PageNumber"/>
      </w:rPr>
      <w:fldChar w:fldCharType="end"/>
    </w:r>
  </w:p>
  <w:p w14:paraId="5A1717CD" w14:textId="77777777" w:rsidR="000A51A2" w:rsidRDefault="000A51A2" w:rsidP="00F403A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1C081" w14:textId="77777777" w:rsidR="001F666F" w:rsidRDefault="001F666F" w:rsidP="00F403A0">
      <w:r>
        <w:separator/>
      </w:r>
    </w:p>
  </w:footnote>
  <w:footnote w:type="continuationSeparator" w:id="0">
    <w:p w14:paraId="607D6994" w14:textId="77777777" w:rsidR="001F666F" w:rsidRDefault="001F666F" w:rsidP="00F40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A29C3"/>
    <w:multiLevelType w:val="multilevel"/>
    <w:tmpl w:val="A9D00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209E8"/>
    <w:multiLevelType w:val="hybridMultilevel"/>
    <w:tmpl w:val="57A60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54DA0"/>
    <w:multiLevelType w:val="multilevel"/>
    <w:tmpl w:val="54EC6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5A4CF1"/>
    <w:multiLevelType w:val="multilevel"/>
    <w:tmpl w:val="00C4B1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73C1B25"/>
    <w:multiLevelType w:val="hybridMultilevel"/>
    <w:tmpl w:val="5D804BE4"/>
    <w:lvl w:ilvl="0" w:tplc="596AB91E">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1A"/>
    <w:rsid w:val="00006799"/>
    <w:rsid w:val="00010BEA"/>
    <w:rsid w:val="00011429"/>
    <w:rsid w:val="00011B28"/>
    <w:rsid w:val="000246F0"/>
    <w:rsid w:val="00030649"/>
    <w:rsid w:val="0003154F"/>
    <w:rsid w:val="0004447C"/>
    <w:rsid w:val="00046625"/>
    <w:rsid w:val="00047A5C"/>
    <w:rsid w:val="000542D3"/>
    <w:rsid w:val="00063323"/>
    <w:rsid w:val="000640FF"/>
    <w:rsid w:val="000732A4"/>
    <w:rsid w:val="0007379D"/>
    <w:rsid w:val="0007604E"/>
    <w:rsid w:val="00076D88"/>
    <w:rsid w:val="0008034D"/>
    <w:rsid w:val="00081959"/>
    <w:rsid w:val="00087E35"/>
    <w:rsid w:val="000947F8"/>
    <w:rsid w:val="000A51A2"/>
    <w:rsid w:val="000A72F8"/>
    <w:rsid w:val="000B5407"/>
    <w:rsid w:val="000B5643"/>
    <w:rsid w:val="000B6FBE"/>
    <w:rsid w:val="000C14D9"/>
    <w:rsid w:val="000C2914"/>
    <w:rsid w:val="000C7FB9"/>
    <w:rsid w:val="000D27FB"/>
    <w:rsid w:val="000E61C4"/>
    <w:rsid w:val="000F3713"/>
    <w:rsid w:val="000F41B1"/>
    <w:rsid w:val="000F42A2"/>
    <w:rsid w:val="000F4B90"/>
    <w:rsid w:val="00101908"/>
    <w:rsid w:val="00103A13"/>
    <w:rsid w:val="0010470D"/>
    <w:rsid w:val="00110EBA"/>
    <w:rsid w:val="00114105"/>
    <w:rsid w:val="00114976"/>
    <w:rsid w:val="00116EC1"/>
    <w:rsid w:val="001176D9"/>
    <w:rsid w:val="0012154F"/>
    <w:rsid w:val="00134132"/>
    <w:rsid w:val="00141E80"/>
    <w:rsid w:val="001433D0"/>
    <w:rsid w:val="00143734"/>
    <w:rsid w:val="00147051"/>
    <w:rsid w:val="001472A6"/>
    <w:rsid w:val="0015030E"/>
    <w:rsid w:val="0015129D"/>
    <w:rsid w:val="0015245E"/>
    <w:rsid w:val="00152B8D"/>
    <w:rsid w:val="00157349"/>
    <w:rsid w:val="001647B7"/>
    <w:rsid w:val="00171C68"/>
    <w:rsid w:val="00172725"/>
    <w:rsid w:val="00173B85"/>
    <w:rsid w:val="001820B6"/>
    <w:rsid w:val="00196721"/>
    <w:rsid w:val="001A065D"/>
    <w:rsid w:val="001A1BCB"/>
    <w:rsid w:val="001A40F4"/>
    <w:rsid w:val="001A543F"/>
    <w:rsid w:val="001A67F8"/>
    <w:rsid w:val="001B27CE"/>
    <w:rsid w:val="001C0084"/>
    <w:rsid w:val="001C07BC"/>
    <w:rsid w:val="001C0CA9"/>
    <w:rsid w:val="001C102B"/>
    <w:rsid w:val="001C57B5"/>
    <w:rsid w:val="001D5FAD"/>
    <w:rsid w:val="001D7628"/>
    <w:rsid w:val="001E07E3"/>
    <w:rsid w:val="001E1D64"/>
    <w:rsid w:val="001E601D"/>
    <w:rsid w:val="001E76D3"/>
    <w:rsid w:val="001F1303"/>
    <w:rsid w:val="001F2622"/>
    <w:rsid w:val="001F666F"/>
    <w:rsid w:val="00202EE8"/>
    <w:rsid w:val="002037A7"/>
    <w:rsid w:val="002042DC"/>
    <w:rsid w:val="0020487B"/>
    <w:rsid w:val="00204CB5"/>
    <w:rsid w:val="00205269"/>
    <w:rsid w:val="00206021"/>
    <w:rsid w:val="00212F3D"/>
    <w:rsid w:val="00215CC1"/>
    <w:rsid w:val="00223263"/>
    <w:rsid w:val="0022331E"/>
    <w:rsid w:val="00224105"/>
    <w:rsid w:val="002242BB"/>
    <w:rsid w:val="00234FE3"/>
    <w:rsid w:val="00240F32"/>
    <w:rsid w:val="002436F3"/>
    <w:rsid w:val="00244F59"/>
    <w:rsid w:val="00247EF7"/>
    <w:rsid w:val="00254FAF"/>
    <w:rsid w:val="00255BED"/>
    <w:rsid w:val="002564D1"/>
    <w:rsid w:val="00257715"/>
    <w:rsid w:val="00262A82"/>
    <w:rsid w:val="00263866"/>
    <w:rsid w:val="00270B6E"/>
    <w:rsid w:val="00271FB4"/>
    <w:rsid w:val="0027523F"/>
    <w:rsid w:val="002901F9"/>
    <w:rsid w:val="00295061"/>
    <w:rsid w:val="002A4728"/>
    <w:rsid w:val="002B0AA5"/>
    <w:rsid w:val="002B196A"/>
    <w:rsid w:val="002B3DA7"/>
    <w:rsid w:val="002B48F4"/>
    <w:rsid w:val="002B5AE9"/>
    <w:rsid w:val="002C6789"/>
    <w:rsid w:val="002C7694"/>
    <w:rsid w:val="002D1591"/>
    <w:rsid w:val="002D209F"/>
    <w:rsid w:val="002D331A"/>
    <w:rsid w:val="002D7B9D"/>
    <w:rsid w:val="002E228B"/>
    <w:rsid w:val="002E4BFD"/>
    <w:rsid w:val="002E5310"/>
    <w:rsid w:val="002E71CD"/>
    <w:rsid w:val="002F3DEC"/>
    <w:rsid w:val="002F682A"/>
    <w:rsid w:val="002F6E94"/>
    <w:rsid w:val="00302B4E"/>
    <w:rsid w:val="00302CFF"/>
    <w:rsid w:val="00304F44"/>
    <w:rsid w:val="00307A24"/>
    <w:rsid w:val="00311072"/>
    <w:rsid w:val="00313D4F"/>
    <w:rsid w:val="00315A57"/>
    <w:rsid w:val="00331860"/>
    <w:rsid w:val="003342D5"/>
    <w:rsid w:val="00334C4C"/>
    <w:rsid w:val="00335582"/>
    <w:rsid w:val="00337091"/>
    <w:rsid w:val="00341C0D"/>
    <w:rsid w:val="0034286E"/>
    <w:rsid w:val="0034683F"/>
    <w:rsid w:val="00347D1A"/>
    <w:rsid w:val="00347E68"/>
    <w:rsid w:val="00351D5B"/>
    <w:rsid w:val="003541E6"/>
    <w:rsid w:val="00354547"/>
    <w:rsid w:val="00354F8C"/>
    <w:rsid w:val="00363A71"/>
    <w:rsid w:val="00363C2A"/>
    <w:rsid w:val="00366B17"/>
    <w:rsid w:val="00380E74"/>
    <w:rsid w:val="003818C2"/>
    <w:rsid w:val="00382CC8"/>
    <w:rsid w:val="00383B5A"/>
    <w:rsid w:val="00384727"/>
    <w:rsid w:val="00385E5A"/>
    <w:rsid w:val="003958FE"/>
    <w:rsid w:val="00397C96"/>
    <w:rsid w:val="003A00A1"/>
    <w:rsid w:val="003A341B"/>
    <w:rsid w:val="003B36BC"/>
    <w:rsid w:val="003B4264"/>
    <w:rsid w:val="003C2B64"/>
    <w:rsid w:val="003C45ED"/>
    <w:rsid w:val="003C4987"/>
    <w:rsid w:val="003C4ACF"/>
    <w:rsid w:val="003C5D94"/>
    <w:rsid w:val="003C6C99"/>
    <w:rsid w:val="003C7B63"/>
    <w:rsid w:val="003D069A"/>
    <w:rsid w:val="003D1E2D"/>
    <w:rsid w:val="003D20FD"/>
    <w:rsid w:val="003E2526"/>
    <w:rsid w:val="003E3012"/>
    <w:rsid w:val="003E323B"/>
    <w:rsid w:val="003E5DB2"/>
    <w:rsid w:val="003E7911"/>
    <w:rsid w:val="003F21A7"/>
    <w:rsid w:val="003F22AC"/>
    <w:rsid w:val="003F68FF"/>
    <w:rsid w:val="00402DB3"/>
    <w:rsid w:val="0040337D"/>
    <w:rsid w:val="0041108A"/>
    <w:rsid w:val="00411A59"/>
    <w:rsid w:val="00415D25"/>
    <w:rsid w:val="00416483"/>
    <w:rsid w:val="00416C75"/>
    <w:rsid w:val="0042609D"/>
    <w:rsid w:val="00426C32"/>
    <w:rsid w:val="00427F8A"/>
    <w:rsid w:val="00431BAB"/>
    <w:rsid w:val="00442734"/>
    <w:rsid w:val="00447933"/>
    <w:rsid w:val="00451B43"/>
    <w:rsid w:val="00452E9E"/>
    <w:rsid w:val="00453061"/>
    <w:rsid w:val="00455E36"/>
    <w:rsid w:val="00461E5A"/>
    <w:rsid w:val="00463E86"/>
    <w:rsid w:val="00464946"/>
    <w:rsid w:val="004660C5"/>
    <w:rsid w:val="004731F1"/>
    <w:rsid w:val="00473CA8"/>
    <w:rsid w:val="00480ECB"/>
    <w:rsid w:val="00481CAA"/>
    <w:rsid w:val="00485EA0"/>
    <w:rsid w:val="0048617E"/>
    <w:rsid w:val="004878B3"/>
    <w:rsid w:val="00490857"/>
    <w:rsid w:val="00493A2B"/>
    <w:rsid w:val="004946BE"/>
    <w:rsid w:val="00496C7A"/>
    <w:rsid w:val="004A16FC"/>
    <w:rsid w:val="004A4C2B"/>
    <w:rsid w:val="004A6735"/>
    <w:rsid w:val="004A6742"/>
    <w:rsid w:val="004B20BD"/>
    <w:rsid w:val="004B6EB2"/>
    <w:rsid w:val="004C0813"/>
    <w:rsid w:val="004C2A38"/>
    <w:rsid w:val="004C3E8B"/>
    <w:rsid w:val="004D16F9"/>
    <w:rsid w:val="004D5E5D"/>
    <w:rsid w:val="004E630C"/>
    <w:rsid w:val="004F3220"/>
    <w:rsid w:val="004F4603"/>
    <w:rsid w:val="004F6304"/>
    <w:rsid w:val="004F729E"/>
    <w:rsid w:val="0050016D"/>
    <w:rsid w:val="005104E5"/>
    <w:rsid w:val="00515F00"/>
    <w:rsid w:val="0052056D"/>
    <w:rsid w:val="00524CEF"/>
    <w:rsid w:val="00524F3E"/>
    <w:rsid w:val="00531AB7"/>
    <w:rsid w:val="00536177"/>
    <w:rsid w:val="0053682A"/>
    <w:rsid w:val="005417A3"/>
    <w:rsid w:val="00550E35"/>
    <w:rsid w:val="00554527"/>
    <w:rsid w:val="0056006F"/>
    <w:rsid w:val="0056482D"/>
    <w:rsid w:val="005661A9"/>
    <w:rsid w:val="00575541"/>
    <w:rsid w:val="0058079D"/>
    <w:rsid w:val="00584956"/>
    <w:rsid w:val="005869AA"/>
    <w:rsid w:val="005917F1"/>
    <w:rsid w:val="00593E7E"/>
    <w:rsid w:val="005B07DC"/>
    <w:rsid w:val="005B20FE"/>
    <w:rsid w:val="005B5E7A"/>
    <w:rsid w:val="005C089C"/>
    <w:rsid w:val="005C3772"/>
    <w:rsid w:val="005C5D31"/>
    <w:rsid w:val="005D0CDE"/>
    <w:rsid w:val="005D20ED"/>
    <w:rsid w:val="005D2460"/>
    <w:rsid w:val="005D4523"/>
    <w:rsid w:val="005D58DB"/>
    <w:rsid w:val="005D7E60"/>
    <w:rsid w:val="005E7710"/>
    <w:rsid w:val="005F4543"/>
    <w:rsid w:val="006013F3"/>
    <w:rsid w:val="0060197A"/>
    <w:rsid w:val="00605B54"/>
    <w:rsid w:val="00606D73"/>
    <w:rsid w:val="00610972"/>
    <w:rsid w:val="00620996"/>
    <w:rsid w:val="0063171D"/>
    <w:rsid w:val="00631AC4"/>
    <w:rsid w:val="00632A0C"/>
    <w:rsid w:val="00632E13"/>
    <w:rsid w:val="00635372"/>
    <w:rsid w:val="00636D86"/>
    <w:rsid w:val="00640162"/>
    <w:rsid w:val="00641C36"/>
    <w:rsid w:val="006428C4"/>
    <w:rsid w:val="00645AAE"/>
    <w:rsid w:val="00647EDA"/>
    <w:rsid w:val="00651E16"/>
    <w:rsid w:val="006570B0"/>
    <w:rsid w:val="00664488"/>
    <w:rsid w:val="00665756"/>
    <w:rsid w:val="00671876"/>
    <w:rsid w:val="00671A72"/>
    <w:rsid w:val="00675226"/>
    <w:rsid w:val="0067623B"/>
    <w:rsid w:val="006852B4"/>
    <w:rsid w:val="0069073C"/>
    <w:rsid w:val="00693FD5"/>
    <w:rsid w:val="006A75D5"/>
    <w:rsid w:val="006B08B0"/>
    <w:rsid w:val="006B0B9A"/>
    <w:rsid w:val="006B0E47"/>
    <w:rsid w:val="006B16D4"/>
    <w:rsid w:val="006B17F2"/>
    <w:rsid w:val="006B2153"/>
    <w:rsid w:val="006B5388"/>
    <w:rsid w:val="006B5409"/>
    <w:rsid w:val="006C01DB"/>
    <w:rsid w:val="006C2AB6"/>
    <w:rsid w:val="006C666E"/>
    <w:rsid w:val="006C6BC9"/>
    <w:rsid w:val="006C7D70"/>
    <w:rsid w:val="006D1A90"/>
    <w:rsid w:val="006D2098"/>
    <w:rsid w:val="006D4508"/>
    <w:rsid w:val="006E14F1"/>
    <w:rsid w:val="006E2355"/>
    <w:rsid w:val="006E290E"/>
    <w:rsid w:val="006E44D5"/>
    <w:rsid w:val="006F009B"/>
    <w:rsid w:val="006F4E0B"/>
    <w:rsid w:val="006F5D67"/>
    <w:rsid w:val="006F6BE9"/>
    <w:rsid w:val="00703BD3"/>
    <w:rsid w:val="00711CFE"/>
    <w:rsid w:val="00713476"/>
    <w:rsid w:val="00714B8D"/>
    <w:rsid w:val="0071562D"/>
    <w:rsid w:val="00716283"/>
    <w:rsid w:val="007212CE"/>
    <w:rsid w:val="00721A5A"/>
    <w:rsid w:val="00724C1A"/>
    <w:rsid w:val="00726766"/>
    <w:rsid w:val="00726B3C"/>
    <w:rsid w:val="00732280"/>
    <w:rsid w:val="007328DA"/>
    <w:rsid w:val="00737904"/>
    <w:rsid w:val="0075381F"/>
    <w:rsid w:val="00762817"/>
    <w:rsid w:val="00765788"/>
    <w:rsid w:val="00772B02"/>
    <w:rsid w:val="00774434"/>
    <w:rsid w:val="00774AB9"/>
    <w:rsid w:val="00774F72"/>
    <w:rsid w:val="00775E8B"/>
    <w:rsid w:val="00777F88"/>
    <w:rsid w:val="00780BFE"/>
    <w:rsid w:val="00782363"/>
    <w:rsid w:val="00783EDB"/>
    <w:rsid w:val="0078402D"/>
    <w:rsid w:val="00784954"/>
    <w:rsid w:val="007910BD"/>
    <w:rsid w:val="00794CC9"/>
    <w:rsid w:val="0079739D"/>
    <w:rsid w:val="007A0838"/>
    <w:rsid w:val="007A2A61"/>
    <w:rsid w:val="007A362C"/>
    <w:rsid w:val="007A7026"/>
    <w:rsid w:val="007B1557"/>
    <w:rsid w:val="007B60A2"/>
    <w:rsid w:val="007C0097"/>
    <w:rsid w:val="007C0620"/>
    <w:rsid w:val="007C2B67"/>
    <w:rsid w:val="007C5B5E"/>
    <w:rsid w:val="007D1324"/>
    <w:rsid w:val="007D427D"/>
    <w:rsid w:val="007D4A9F"/>
    <w:rsid w:val="007D7CE1"/>
    <w:rsid w:val="007E033E"/>
    <w:rsid w:val="007E0D6B"/>
    <w:rsid w:val="007E7093"/>
    <w:rsid w:val="007F1F34"/>
    <w:rsid w:val="007F3A46"/>
    <w:rsid w:val="007F3C1F"/>
    <w:rsid w:val="007F4096"/>
    <w:rsid w:val="007F6FF6"/>
    <w:rsid w:val="007F78F9"/>
    <w:rsid w:val="00803090"/>
    <w:rsid w:val="00810683"/>
    <w:rsid w:val="0081795F"/>
    <w:rsid w:val="00824D85"/>
    <w:rsid w:val="00827F3A"/>
    <w:rsid w:val="0083226E"/>
    <w:rsid w:val="00835C1D"/>
    <w:rsid w:val="00840867"/>
    <w:rsid w:val="00841EEE"/>
    <w:rsid w:val="0084764F"/>
    <w:rsid w:val="008546A0"/>
    <w:rsid w:val="00854F4E"/>
    <w:rsid w:val="00855C6C"/>
    <w:rsid w:val="008619C9"/>
    <w:rsid w:val="00872125"/>
    <w:rsid w:val="00872A37"/>
    <w:rsid w:val="00873C8D"/>
    <w:rsid w:val="00881018"/>
    <w:rsid w:val="00883D51"/>
    <w:rsid w:val="00883F96"/>
    <w:rsid w:val="008866DC"/>
    <w:rsid w:val="008A26CB"/>
    <w:rsid w:val="008A27D3"/>
    <w:rsid w:val="008A444B"/>
    <w:rsid w:val="008B4F22"/>
    <w:rsid w:val="008B6280"/>
    <w:rsid w:val="008B7FC3"/>
    <w:rsid w:val="008C30C4"/>
    <w:rsid w:val="008C5CF5"/>
    <w:rsid w:val="008C5F0B"/>
    <w:rsid w:val="008D58C0"/>
    <w:rsid w:val="008D68D1"/>
    <w:rsid w:val="008E1169"/>
    <w:rsid w:val="008E4379"/>
    <w:rsid w:val="008F7EFF"/>
    <w:rsid w:val="0090172A"/>
    <w:rsid w:val="00903E21"/>
    <w:rsid w:val="00906828"/>
    <w:rsid w:val="00911391"/>
    <w:rsid w:val="009118BC"/>
    <w:rsid w:val="00912734"/>
    <w:rsid w:val="00913306"/>
    <w:rsid w:val="0091420B"/>
    <w:rsid w:val="00917C33"/>
    <w:rsid w:val="00917E6D"/>
    <w:rsid w:val="009208E3"/>
    <w:rsid w:val="00921A04"/>
    <w:rsid w:val="009222C2"/>
    <w:rsid w:val="00925C41"/>
    <w:rsid w:val="0093316E"/>
    <w:rsid w:val="00934AAD"/>
    <w:rsid w:val="00942CFF"/>
    <w:rsid w:val="00944F1A"/>
    <w:rsid w:val="00945745"/>
    <w:rsid w:val="0094595E"/>
    <w:rsid w:val="0094654A"/>
    <w:rsid w:val="00952C20"/>
    <w:rsid w:val="0095300B"/>
    <w:rsid w:val="00954FA7"/>
    <w:rsid w:val="009558FC"/>
    <w:rsid w:val="00956E15"/>
    <w:rsid w:val="00961D25"/>
    <w:rsid w:val="00965103"/>
    <w:rsid w:val="00965743"/>
    <w:rsid w:val="0097519F"/>
    <w:rsid w:val="009773B9"/>
    <w:rsid w:val="00983FB6"/>
    <w:rsid w:val="00984530"/>
    <w:rsid w:val="00986155"/>
    <w:rsid w:val="009872D0"/>
    <w:rsid w:val="00987AF9"/>
    <w:rsid w:val="009A4C1A"/>
    <w:rsid w:val="009A5C46"/>
    <w:rsid w:val="009A66A7"/>
    <w:rsid w:val="009B0BBA"/>
    <w:rsid w:val="009B4320"/>
    <w:rsid w:val="009B5FA5"/>
    <w:rsid w:val="009C17DD"/>
    <w:rsid w:val="009C1BFE"/>
    <w:rsid w:val="009C60ED"/>
    <w:rsid w:val="009D39E7"/>
    <w:rsid w:val="009D6F7A"/>
    <w:rsid w:val="009D7E8B"/>
    <w:rsid w:val="009E0050"/>
    <w:rsid w:val="009E139D"/>
    <w:rsid w:val="009E1CDE"/>
    <w:rsid w:val="009E4496"/>
    <w:rsid w:val="009E4FF1"/>
    <w:rsid w:val="009E57D9"/>
    <w:rsid w:val="009F1E45"/>
    <w:rsid w:val="009F22BD"/>
    <w:rsid w:val="009F48DD"/>
    <w:rsid w:val="009F7787"/>
    <w:rsid w:val="00A01B4E"/>
    <w:rsid w:val="00A051DC"/>
    <w:rsid w:val="00A07916"/>
    <w:rsid w:val="00A1171A"/>
    <w:rsid w:val="00A118E8"/>
    <w:rsid w:val="00A137C7"/>
    <w:rsid w:val="00A14CBA"/>
    <w:rsid w:val="00A20D39"/>
    <w:rsid w:val="00A20FB2"/>
    <w:rsid w:val="00A25C4F"/>
    <w:rsid w:val="00A274FC"/>
    <w:rsid w:val="00A317C7"/>
    <w:rsid w:val="00A35637"/>
    <w:rsid w:val="00A465B3"/>
    <w:rsid w:val="00A47EC0"/>
    <w:rsid w:val="00A5009A"/>
    <w:rsid w:val="00A5210C"/>
    <w:rsid w:val="00A524BC"/>
    <w:rsid w:val="00A62EF4"/>
    <w:rsid w:val="00A654FF"/>
    <w:rsid w:val="00A71DB4"/>
    <w:rsid w:val="00A7485E"/>
    <w:rsid w:val="00A76859"/>
    <w:rsid w:val="00A77121"/>
    <w:rsid w:val="00A87268"/>
    <w:rsid w:val="00A91CD3"/>
    <w:rsid w:val="00A92231"/>
    <w:rsid w:val="00A946DC"/>
    <w:rsid w:val="00A95950"/>
    <w:rsid w:val="00AA2376"/>
    <w:rsid w:val="00AA2CF4"/>
    <w:rsid w:val="00AA4B5F"/>
    <w:rsid w:val="00AA4D07"/>
    <w:rsid w:val="00AA6B75"/>
    <w:rsid w:val="00AB2534"/>
    <w:rsid w:val="00AB2D37"/>
    <w:rsid w:val="00AB3729"/>
    <w:rsid w:val="00AB37B2"/>
    <w:rsid w:val="00AC0BE6"/>
    <w:rsid w:val="00AC289A"/>
    <w:rsid w:val="00AC692A"/>
    <w:rsid w:val="00AC7376"/>
    <w:rsid w:val="00AD07BC"/>
    <w:rsid w:val="00AD48FD"/>
    <w:rsid w:val="00AD4FCC"/>
    <w:rsid w:val="00AF1732"/>
    <w:rsid w:val="00AF3B18"/>
    <w:rsid w:val="00AF6118"/>
    <w:rsid w:val="00AF70D2"/>
    <w:rsid w:val="00AF71EF"/>
    <w:rsid w:val="00B0090B"/>
    <w:rsid w:val="00B00D82"/>
    <w:rsid w:val="00B041EE"/>
    <w:rsid w:val="00B07C83"/>
    <w:rsid w:val="00B07DB6"/>
    <w:rsid w:val="00B1370A"/>
    <w:rsid w:val="00B13DCE"/>
    <w:rsid w:val="00B1466F"/>
    <w:rsid w:val="00B2078D"/>
    <w:rsid w:val="00B273FC"/>
    <w:rsid w:val="00B32424"/>
    <w:rsid w:val="00B33AD0"/>
    <w:rsid w:val="00B349C9"/>
    <w:rsid w:val="00B40565"/>
    <w:rsid w:val="00B4114C"/>
    <w:rsid w:val="00B4366B"/>
    <w:rsid w:val="00B51ADC"/>
    <w:rsid w:val="00B55243"/>
    <w:rsid w:val="00B572C6"/>
    <w:rsid w:val="00B61690"/>
    <w:rsid w:val="00B6433F"/>
    <w:rsid w:val="00B651C7"/>
    <w:rsid w:val="00B71525"/>
    <w:rsid w:val="00B723D6"/>
    <w:rsid w:val="00B73597"/>
    <w:rsid w:val="00B738DE"/>
    <w:rsid w:val="00B778D0"/>
    <w:rsid w:val="00B85753"/>
    <w:rsid w:val="00B87F14"/>
    <w:rsid w:val="00B961C9"/>
    <w:rsid w:val="00BA1128"/>
    <w:rsid w:val="00BA7693"/>
    <w:rsid w:val="00BC50EB"/>
    <w:rsid w:val="00BC529B"/>
    <w:rsid w:val="00BC5823"/>
    <w:rsid w:val="00BC738D"/>
    <w:rsid w:val="00BD1D71"/>
    <w:rsid w:val="00BD2F81"/>
    <w:rsid w:val="00BD40A6"/>
    <w:rsid w:val="00BD533B"/>
    <w:rsid w:val="00BD7A0D"/>
    <w:rsid w:val="00BE22CC"/>
    <w:rsid w:val="00BE7C62"/>
    <w:rsid w:val="00BF5D3C"/>
    <w:rsid w:val="00BF74AE"/>
    <w:rsid w:val="00C0169F"/>
    <w:rsid w:val="00C0321D"/>
    <w:rsid w:val="00C05F2C"/>
    <w:rsid w:val="00C06F8A"/>
    <w:rsid w:val="00C130DC"/>
    <w:rsid w:val="00C15155"/>
    <w:rsid w:val="00C3065F"/>
    <w:rsid w:val="00C32EF4"/>
    <w:rsid w:val="00C3438C"/>
    <w:rsid w:val="00C36F36"/>
    <w:rsid w:val="00C4301C"/>
    <w:rsid w:val="00C44ED9"/>
    <w:rsid w:val="00C47597"/>
    <w:rsid w:val="00C47AA9"/>
    <w:rsid w:val="00C5087D"/>
    <w:rsid w:val="00C53115"/>
    <w:rsid w:val="00C56D57"/>
    <w:rsid w:val="00C6329E"/>
    <w:rsid w:val="00C632F0"/>
    <w:rsid w:val="00C636DF"/>
    <w:rsid w:val="00C66A47"/>
    <w:rsid w:val="00C71CAE"/>
    <w:rsid w:val="00C73BC4"/>
    <w:rsid w:val="00C827B5"/>
    <w:rsid w:val="00C836D6"/>
    <w:rsid w:val="00C85AFC"/>
    <w:rsid w:val="00C874E7"/>
    <w:rsid w:val="00C910DD"/>
    <w:rsid w:val="00C93B4D"/>
    <w:rsid w:val="00C9607C"/>
    <w:rsid w:val="00CA0270"/>
    <w:rsid w:val="00CA0426"/>
    <w:rsid w:val="00CA6B58"/>
    <w:rsid w:val="00CB05E3"/>
    <w:rsid w:val="00CB52E9"/>
    <w:rsid w:val="00CB7F34"/>
    <w:rsid w:val="00CC31ED"/>
    <w:rsid w:val="00CC5EE9"/>
    <w:rsid w:val="00CC7F6C"/>
    <w:rsid w:val="00CD09B0"/>
    <w:rsid w:val="00CD45CA"/>
    <w:rsid w:val="00CD60F8"/>
    <w:rsid w:val="00CE6534"/>
    <w:rsid w:val="00CF2701"/>
    <w:rsid w:val="00CF4034"/>
    <w:rsid w:val="00CF77A2"/>
    <w:rsid w:val="00D012DF"/>
    <w:rsid w:val="00D05847"/>
    <w:rsid w:val="00D069DF"/>
    <w:rsid w:val="00D10AB0"/>
    <w:rsid w:val="00D13419"/>
    <w:rsid w:val="00D139C1"/>
    <w:rsid w:val="00D14E21"/>
    <w:rsid w:val="00D14FFC"/>
    <w:rsid w:val="00D20291"/>
    <w:rsid w:val="00D2192E"/>
    <w:rsid w:val="00D244FC"/>
    <w:rsid w:val="00D24E83"/>
    <w:rsid w:val="00D26042"/>
    <w:rsid w:val="00D30BBC"/>
    <w:rsid w:val="00D31F88"/>
    <w:rsid w:val="00D32108"/>
    <w:rsid w:val="00D32B99"/>
    <w:rsid w:val="00D33999"/>
    <w:rsid w:val="00D340A6"/>
    <w:rsid w:val="00D44AC3"/>
    <w:rsid w:val="00D458E2"/>
    <w:rsid w:val="00D5101E"/>
    <w:rsid w:val="00D51295"/>
    <w:rsid w:val="00D57659"/>
    <w:rsid w:val="00D64CEC"/>
    <w:rsid w:val="00D673D6"/>
    <w:rsid w:val="00D705D6"/>
    <w:rsid w:val="00D73864"/>
    <w:rsid w:val="00D73ACB"/>
    <w:rsid w:val="00D75FA4"/>
    <w:rsid w:val="00D77FC0"/>
    <w:rsid w:val="00D813F0"/>
    <w:rsid w:val="00D81D3C"/>
    <w:rsid w:val="00D82FD4"/>
    <w:rsid w:val="00D83479"/>
    <w:rsid w:val="00D84031"/>
    <w:rsid w:val="00D87CAF"/>
    <w:rsid w:val="00D941C4"/>
    <w:rsid w:val="00D97817"/>
    <w:rsid w:val="00DA1B32"/>
    <w:rsid w:val="00DA4824"/>
    <w:rsid w:val="00DB3DD5"/>
    <w:rsid w:val="00DB4E8D"/>
    <w:rsid w:val="00DC04E4"/>
    <w:rsid w:val="00DD04DA"/>
    <w:rsid w:val="00DD4ED7"/>
    <w:rsid w:val="00DD717C"/>
    <w:rsid w:val="00DD7943"/>
    <w:rsid w:val="00DE08AB"/>
    <w:rsid w:val="00DE31CF"/>
    <w:rsid w:val="00DE394B"/>
    <w:rsid w:val="00E017CD"/>
    <w:rsid w:val="00E02C16"/>
    <w:rsid w:val="00E04647"/>
    <w:rsid w:val="00E075B9"/>
    <w:rsid w:val="00E2619B"/>
    <w:rsid w:val="00E3302B"/>
    <w:rsid w:val="00E37281"/>
    <w:rsid w:val="00E440E8"/>
    <w:rsid w:val="00E45D1D"/>
    <w:rsid w:val="00E51667"/>
    <w:rsid w:val="00E51A34"/>
    <w:rsid w:val="00E522CF"/>
    <w:rsid w:val="00E6124C"/>
    <w:rsid w:val="00E639CB"/>
    <w:rsid w:val="00E72E96"/>
    <w:rsid w:val="00E72F93"/>
    <w:rsid w:val="00E82112"/>
    <w:rsid w:val="00E82CE7"/>
    <w:rsid w:val="00E86BA1"/>
    <w:rsid w:val="00E87B53"/>
    <w:rsid w:val="00EA360B"/>
    <w:rsid w:val="00EA6C68"/>
    <w:rsid w:val="00EB6B38"/>
    <w:rsid w:val="00EB6C79"/>
    <w:rsid w:val="00EB6EFA"/>
    <w:rsid w:val="00EC1A22"/>
    <w:rsid w:val="00EC274D"/>
    <w:rsid w:val="00EC68FF"/>
    <w:rsid w:val="00EC73E0"/>
    <w:rsid w:val="00ED0BAE"/>
    <w:rsid w:val="00EE4CE3"/>
    <w:rsid w:val="00EF04BF"/>
    <w:rsid w:val="00EF15C0"/>
    <w:rsid w:val="00EF31A8"/>
    <w:rsid w:val="00EF3FB1"/>
    <w:rsid w:val="00EF6A5F"/>
    <w:rsid w:val="00F02060"/>
    <w:rsid w:val="00F073EB"/>
    <w:rsid w:val="00F149A1"/>
    <w:rsid w:val="00F279E1"/>
    <w:rsid w:val="00F31A5D"/>
    <w:rsid w:val="00F348AE"/>
    <w:rsid w:val="00F35359"/>
    <w:rsid w:val="00F37E93"/>
    <w:rsid w:val="00F403A0"/>
    <w:rsid w:val="00F41745"/>
    <w:rsid w:val="00F439E5"/>
    <w:rsid w:val="00F5435D"/>
    <w:rsid w:val="00F56E40"/>
    <w:rsid w:val="00F56E90"/>
    <w:rsid w:val="00F61F33"/>
    <w:rsid w:val="00F62A20"/>
    <w:rsid w:val="00F64E3E"/>
    <w:rsid w:val="00F656EE"/>
    <w:rsid w:val="00F6577F"/>
    <w:rsid w:val="00F67FFB"/>
    <w:rsid w:val="00F703B9"/>
    <w:rsid w:val="00F74884"/>
    <w:rsid w:val="00F75CFE"/>
    <w:rsid w:val="00F86A84"/>
    <w:rsid w:val="00F91E2B"/>
    <w:rsid w:val="00F96AB3"/>
    <w:rsid w:val="00FA202C"/>
    <w:rsid w:val="00FB109C"/>
    <w:rsid w:val="00FB18A5"/>
    <w:rsid w:val="00FB3F00"/>
    <w:rsid w:val="00FB4688"/>
    <w:rsid w:val="00FB5FEA"/>
    <w:rsid w:val="00FC5FC8"/>
    <w:rsid w:val="00FE0FA5"/>
    <w:rsid w:val="00FE141D"/>
    <w:rsid w:val="00FE7502"/>
    <w:rsid w:val="00FF4668"/>
    <w:rsid w:val="00FF5237"/>
    <w:rsid w:val="00FF6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86BF5F"/>
  <w15:docId w15:val="{97BE05EE-B8A1-4C53-B456-F966C76C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270B6E"/>
    <w:pPr>
      <w:keepNext/>
      <w:keepLines/>
      <w:spacing w:before="480"/>
      <w:outlineLvl w:val="0"/>
    </w:pPr>
    <w:rPr>
      <w:rFonts w:asciiTheme="majorHAnsi" w:eastAsiaTheme="majorEastAsia" w:hAnsiTheme="majorHAnsi" w:cstheme="majorBidi"/>
      <w:b/>
      <w:bCs/>
      <w:color w:val="671B64" w:themeColor="accent1" w:themeShade="B5"/>
      <w:sz w:val="32"/>
      <w:szCs w:val="32"/>
    </w:rPr>
  </w:style>
  <w:style w:type="paragraph" w:styleId="Heading2">
    <w:name w:val="heading 2"/>
    <w:basedOn w:val="Normal"/>
    <w:next w:val="Normal"/>
    <w:link w:val="Heading2Char"/>
    <w:uiPriority w:val="9"/>
    <w:unhideWhenUsed/>
    <w:qFormat/>
    <w:rsid w:val="00270B6E"/>
    <w:pPr>
      <w:keepNext/>
      <w:keepLines/>
      <w:spacing w:before="20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semiHidden/>
    <w:unhideWhenUsed/>
    <w:qFormat/>
    <w:rsid w:val="005D4523"/>
    <w:pPr>
      <w:keepNext/>
      <w:keepLines/>
      <w:spacing w:before="40"/>
      <w:outlineLvl w:val="2"/>
    </w:pPr>
    <w:rPr>
      <w:rFonts w:asciiTheme="majorHAnsi" w:eastAsiaTheme="majorEastAsia" w:hAnsiTheme="majorHAnsi" w:cstheme="majorBidi"/>
      <w:color w:val="4813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1A"/>
    <w:pPr>
      <w:ind w:left="720"/>
      <w:contextualSpacing/>
    </w:pPr>
  </w:style>
  <w:style w:type="paragraph" w:styleId="BalloonText">
    <w:name w:val="Balloon Text"/>
    <w:basedOn w:val="Normal"/>
    <w:link w:val="BalloonTextChar"/>
    <w:uiPriority w:val="99"/>
    <w:semiHidden/>
    <w:unhideWhenUsed/>
    <w:rsid w:val="00A50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09A"/>
    <w:rPr>
      <w:rFonts w:ascii="Lucida Grande" w:hAnsi="Lucida Grande" w:cs="Lucida Grande"/>
      <w:sz w:val="18"/>
      <w:szCs w:val="18"/>
    </w:rPr>
  </w:style>
  <w:style w:type="character" w:styleId="Hyperlink">
    <w:name w:val="Hyperlink"/>
    <w:basedOn w:val="DefaultParagraphFont"/>
    <w:uiPriority w:val="99"/>
    <w:unhideWhenUsed/>
    <w:rsid w:val="009C1BFE"/>
    <w:rPr>
      <w:color w:val="0066FF" w:themeColor="hyperlink"/>
      <w:u w:val="single"/>
    </w:rPr>
  </w:style>
  <w:style w:type="character" w:styleId="CommentReference">
    <w:name w:val="annotation reference"/>
    <w:basedOn w:val="DefaultParagraphFont"/>
    <w:uiPriority w:val="99"/>
    <w:semiHidden/>
    <w:unhideWhenUsed/>
    <w:rsid w:val="00A95950"/>
    <w:rPr>
      <w:sz w:val="18"/>
      <w:szCs w:val="18"/>
    </w:rPr>
  </w:style>
  <w:style w:type="paragraph" w:styleId="CommentText">
    <w:name w:val="annotation text"/>
    <w:basedOn w:val="Normal"/>
    <w:link w:val="CommentTextChar"/>
    <w:uiPriority w:val="99"/>
    <w:semiHidden/>
    <w:unhideWhenUsed/>
    <w:rsid w:val="00A95950"/>
  </w:style>
  <w:style w:type="character" w:customStyle="1" w:styleId="CommentTextChar">
    <w:name w:val="Comment Text Char"/>
    <w:basedOn w:val="DefaultParagraphFont"/>
    <w:link w:val="CommentText"/>
    <w:uiPriority w:val="99"/>
    <w:semiHidden/>
    <w:rsid w:val="00A95950"/>
  </w:style>
  <w:style w:type="paragraph" w:styleId="CommentSubject">
    <w:name w:val="annotation subject"/>
    <w:basedOn w:val="CommentText"/>
    <w:next w:val="CommentText"/>
    <w:link w:val="CommentSubjectChar"/>
    <w:uiPriority w:val="99"/>
    <w:semiHidden/>
    <w:unhideWhenUsed/>
    <w:rsid w:val="00A95950"/>
    <w:rPr>
      <w:b/>
      <w:bCs/>
      <w:sz w:val="20"/>
      <w:szCs w:val="20"/>
    </w:rPr>
  </w:style>
  <w:style w:type="character" w:customStyle="1" w:styleId="CommentSubjectChar">
    <w:name w:val="Comment Subject Char"/>
    <w:basedOn w:val="CommentTextChar"/>
    <w:link w:val="CommentSubject"/>
    <w:uiPriority w:val="99"/>
    <w:semiHidden/>
    <w:rsid w:val="00A95950"/>
    <w:rPr>
      <w:b/>
      <w:bCs/>
      <w:sz w:val="20"/>
      <w:szCs w:val="20"/>
    </w:rPr>
  </w:style>
  <w:style w:type="character" w:customStyle="1" w:styleId="apple-converted-space">
    <w:name w:val="apple-converted-space"/>
    <w:basedOn w:val="DefaultParagraphFont"/>
    <w:rsid w:val="00101908"/>
  </w:style>
  <w:style w:type="paragraph" w:styleId="Title">
    <w:name w:val="Title"/>
    <w:basedOn w:val="Normal"/>
    <w:next w:val="Normal"/>
    <w:link w:val="TitleChar"/>
    <w:uiPriority w:val="10"/>
    <w:qFormat/>
    <w:rsid w:val="00270B6E"/>
    <w:pPr>
      <w:pBdr>
        <w:bottom w:val="single" w:sz="8" w:space="4" w:color="92278F" w:themeColor="accent1"/>
      </w:pBdr>
      <w:spacing w:after="300"/>
      <w:contextualSpacing/>
    </w:pPr>
    <w:rPr>
      <w:rFonts w:asciiTheme="majorHAnsi" w:eastAsiaTheme="majorEastAsia" w:hAnsiTheme="majorHAnsi" w:cstheme="majorBidi"/>
      <w:color w:val="492249" w:themeColor="text2" w:themeShade="BF"/>
      <w:spacing w:val="5"/>
      <w:kern w:val="28"/>
      <w:sz w:val="52"/>
      <w:szCs w:val="52"/>
    </w:rPr>
  </w:style>
  <w:style w:type="character" w:customStyle="1" w:styleId="TitleChar">
    <w:name w:val="Title Char"/>
    <w:basedOn w:val="DefaultParagraphFont"/>
    <w:link w:val="Title"/>
    <w:uiPriority w:val="10"/>
    <w:rsid w:val="00270B6E"/>
    <w:rPr>
      <w:rFonts w:asciiTheme="majorHAnsi" w:eastAsiaTheme="majorEastAsia" w:hAnsiTheme="majorHAnsi" w:cstheme="majorBidi"/>
      <w:color w:val="492249" w:themeColor="text2" w:themeShade="BF"/>
      <w:spacing w:val="5"/>
      <w:kern w:val="28"/>
      <w:sz w:val="52"/>
      <w:szCs w:val="52"/>
    </w:rPr>
  </w:style>
  <w:style w:type="paragraph" w:styleId="Subtitle">
    <w:name w:val="Subtitle"/>
    <w:basedOn w:val="Normal"/>
    <w:next w:val="Normal"/>
    <w:link w:val="SubtitleChar"/>
    <w:uiPriority w:val="11"/>
    <w:qFormat/>
    <w:rsid w:val="00270B6E"/>
    <w:pPr>
      <w:numPr>
        <w:ilvl w:val="1"/>
      </w:numPr>
    </w:pPr>
    <w:rPr>
      <w:rFonts w:asciiTheme="majorHAnsi" w:eastAsiaTheme="majorEastAsia" w:hAnsiTheme="majorHAnsi" w:cstheme="majorBidi"/>
      <w:i/>
      <w:iCs/>
      <w:color w:val="92278F" w:themeColor="accent1"/>
      <w:spacing w:val="15"/>
    </w:rPr>
  </w:style>
  <w:style w:type="character" w:customStyle="1" w:styleId="SubtitleChar">
    <w:name w:val="Subtitle Char"/>
    <w:basedOn w:val="DefaultParagraphFont"/>
    <w:link w:val="Subtitle"/>
    <w:uiPriority w:val="11"/>
    <w:rsid w:val="00270B6E"/>
    <w:rPr>
      <w:rFonts w:asciiTheme="majorHAnsi" w:eastAsiaTheme="majorEastAsia" w:hAnsiTheme="majorHAnsi" w:cstheme="majorBidi"/>
      <w:i/>
      <w:iCs/>
      <w:color w:val="92278F" w:themeColor="accent1"/>
      <w:spacing w:val="15"/>
    </w:rPr>
  </w:style>
  <w:style w:type="character" w:customStyle="1" w:styleId="Heading1Char">
    <w:name w:val="Heading 1 Char"/>
    <w:basedOn w:val="DefaultParagraphFont"/>
    <w:link w:val="Heading1"/>
    <w:uiPriority w:val="9"/>
    <w:rsid w:val="00270B6E"/>
    <w:rPr>
      <w:rFonts w:asciiTheme="majorHAnsi" w:eastAsiaTheme="majorEastAsia" w:hAnsiTheme="majorHAnsi" w:cstheme="majorBidi"/>
      <w:b/>
      <w:bCs/>
      <w:color w:val="671B64" w:themeColor="accent1" w:themeShade="B5"/>
      <w:sz w:val="32"/>
      <w:szCs w:val="32"/>
    </w:rPr>
  </w:style>
  <w:style w:type="character" w:customStyle="1" w:styleId="Heading2Char">
    <w:name w:val="Heading 2 Char"/>
    <w:basedOn w:val="DefaultParagraphFont"/>
    <w:link w:val="Heading2"/>
    <w:uiPriority w:val="9"/>
    <w:rsid w:val="00270B6E"/>
    <w:rPr>
      <w:rFonts w:asciiTheme="majorHAnsi" w:eastAsiaTheme="majorEastAsia" w:hAnsiTheme="majorHAnsi" w:cstheme="majorBidi"/>
      <w:b/>
      <w:bCs/>
      <w:color w:val="92278F" w:themeColor="accent1"/>
      <w:sz w:val="26"/>
      <w:szCs w:val="26"/>
    </w:rPr>
  </w:style>
  <w:style w:type="paragraph" w:styleId="TOCHeading">
    <w:name w:val="TOC Heading"/>
    <w:basedOn w:val="Heading1"/>
    <w:next w:val="Normal"/>
    <w:uiPriority w:val="39"/>
    <w:unhideWhenUsed/>
    <w:qFormat/>
    <w:rsid w:val="0078402D"/>
    <w:pPr>
      <w:spacing w:line="276" w:lineRule="auto"/>
      <w:outlineLvl w:val="9"/>
    </w:pPr>
    <w:rPr>
      <w:color w:val="6D1D6A" w:themeColor="accent1" w:themeShade="BF"/>
      <w:sz w:val="28"/>
      <w:szCs w:val="28"/>
    </w:rPr>
  </w:style>
  <w:style w:type="paragraph" w:styleId="TOC1">
    <w:name w:val="toc 1"/>
    <w:basedOn w:val="Normal"/>
    <w:next w:val="Normal"/>
    <w:autoRedefine/>
    <w:uiPriority w:val="39"/>
    <w:unhideWhenUsed/>
    <w:rsid w:val="0078402D"/>
    <w:pPr>
      <w:spacing w:before="120"/>
    </w:pPr>
    <w:rPr>
      <w:b/>
    </w:rPr>
  </w:style>
  <w:style w:type="paragraph" w:styleId="TOC2">
    <w:name w:val="toc 2"/>
    <w:basedOn w:val="Normal"/>
    <w:next w:val="Normal"/>
    <w:autoRedefine/>
    <w:uiPriority w:val="39"/>
    <w:unhideWhenUsed/>
    <w:rsid w:val="0078402D"/>
    <w:pPr>
      <w:ind w:left="240"/>
    </w:pPr>
    <w:rPr>
      <w:b/>
      <w:sz w:val="22"/>
      <w:szCs w:val="22"/>
    </w:rPr>
  </w:style>
  <w:style w:type="paragraph" w:styleId="TOC3">
    <w:name w:val="toc 3"/>
    <w:basedOn w:val="Normal"/>
    <w:next w:val="Normal"/>
    <w:autoRedefine/>
    <w:uiPriority w:val="39"/>
    <w:unhideWhenUsed/>
    <w:rsid w:val="0078402D"/>
    <w:pPr>
      <w:ind w:left="480"/>
    </w:pPr>
    <w:rPr>
      <w:sz w:val="22"/>
      <w:szCs w:val="22"/>
    </w:rPr>
  </w:style>
  <w:style w:type="paragraph" w:styleId="TOC4">
    <w:name w:val="toc 4"/>
    <w:basedOn w:val="Normal"/>
    <w:next w:val="Normal"/>
    <w:autoRedefine/>
    <w:uiPriority w:val="39"/>
    <w:semiHidden/>
    <w:unhideWhenUsed/>
    <w:rsid w:val="0078402D"/>
    <w:pPr>
      <w:ind w:left="720"/>
    </w:pPr>
    <w:rPr>
      <w:sz w:val="20"/>
      <w:szCs w:val="20"/>
    </w:rPr>
  </w:style>
  <w:style w:type="paragraph" w:styleId="TOC5">
    <w:name w:val="toc 5"/>
    <w:basedOn w:val="Normal"/>
    <w:next w:val="Normal"/>
    <w:autoRedefine/>
    <w:uiPriority w:val="39"/>
    <w:semiHidden/>
    <w:unhideWhenUsed/>
    <w:rsid w:val="0078402D"/>
    <w:pPr>
      <w:ind w:left="960"/>
    </w:pPr>
    <w:rPr>
      <w:sz w:val="20"/>
      <w:szCs w:val="20"/>
    </w:rPr>
  </w:style>
  <w:style w:type="paragraph" w:styleId="TOC6">
    <w:name w:val="toc 6"/>
    <w:basedOn w:val="Normal"/>
    <w:next w:val="Normal"/>
    <w:autoRedefine/>
    <w:uiPriority w:val="39"/>
    <w:semiHidden/>
    <w:unhideWhenUsed/>
    <w:rsid w:val="0078402D"/>
    <w:pPr>
      <w:ind w:left="1200"/>
    </w:pPr>
    <w:rPr>
      <w:sz w:val="20"/>
      <w:szCs w:val="20"/>
    </w:rPr>
  </w:style>
  <w:style w:type="paragraph" w:styleId="TOC7">
    <w:name w:val="toc 7"/>
    <w:basedOn w:val="Normal"/>
    <w:next w:val="Normal"/>
    <w:autoRedefine/>
    <w:uiPriority w:val="39"/>
    <w:semiHidden/>
    <w:unhideWhenUsed/>
    <w:rsid w:val="0078402D"/>
    <w:pPr>
      <w:ind w:left="1440"/>
    </w:pPr>
    <w:rPr>
      <w:sz w:val="20"/>
      <w:szCs w:val="20"/>
    </w:rPr>
  </w:style>
  <w:style w:type="paragraph" w:styleId="TOC8">
    <w:name w:val="toc 8"/>
    <w:basedOn w:val="Normal"/>
    <w:next w:val="Normal"/>
    <w:autoRedefine/>
    <w:uiPriority w:val="39"/>
    <w:semiHidden/>
    <w:unhideWhenUsed/>
    <w:rsid w:val="0078402D"/>
    <w:pPr>
      <w:ind w:left="1680"/>
    </w:pPr>
    <w:rPr>
      <w:sz w:val="20"/>
      <w:szCs w:val="20"/>
    </w:rPr>
  </w:style>
  <w:style w:type="paragraph" w:styleId="TOC9">
    <w:name w:val="toc 9"/>
    <w:basedOn w:val="Normal"/>
    <w:next w:val="Normal"/>
    <w:autoRedefine/>
    <w:uiPriority w:val="39"/>
    <w:semiHidden/>
    <w:unhideWhenUsed/>
    <w:rsid w:val="0078402D"/>
    <w:pPr>
      <w:ind w:left="1920"/>
    </w:pPr>
    <w:rPr>
      <w:sz w:val="20"/>
      <w:szCs w:val="20"/>
    </w:rPr>
  </w:style>
  <w:style w:type="table" w:styleId="TableGrid">
    <w:name w:val="Table Grid"/>
    <w:basedOn w:val="TableNormal"/>
    <w:uiPriority w:val="39"/>
    <w:rsid w:val="00E7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1D7628"/>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Grid-Accent4">
    <w:name w:val="Light Grid Accent 4"/>
    <w:basedOn w:val="TableNormal"/>
    <w:uiPriority w:val="62"/>
    <w:rsid w:val="001D7628"/>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insideH w:val="single" w:sz="8" w:space="0" w:color="665EB8" w:themeColor="accent4"/>
        <w:insideV w:val="single" w:sz="8" w:space="0" w:color="665EB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18" w:space="0" w:color="665EB8" w:themeColor="accent4"/>
          <w:right w:val="single" w:sz="8" w:space="0" w:color="665EB8" w:themeColor="accent4"/>
          <w:insideH w:val="nil"/>
          <w:insideV w:val="single" w:sz="8" w:space="0" w:color="665EB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5EB8" w:themeColor="accent4"/>
          <w:left w:val="single" w:sz="8" w:space="0" w:color="665EB8" w:themeColor="accent4"/>
          <w:bottom w:val="single" w:sz="8" w:space="0" w:color="665EB8" w:themeColor="accent4"/>
          <w:right w:val="single" w:sz="8" w:space="0" w:color="665EB8" w:themeColor="accent4"/>
          <w:insideH w:val="nil"/>
          <w:insideV w:val="single" w:sz="8" w:space="0" w:color="665EB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tblStylePr w:type="band1Vert">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shd w:val="clear" w:color="auto" w:fill="D9D7ED" w:themeFill="accent4" w:themeFillTint="3F"/>
      </w:tcPr>
    </w:tblStylePr>
    <w:tblStylePr w:type="band1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shd w:val="clear" w:color="auto" w:fill="D9D7ED" w:themeFill="accent4" w:themeFillTint="3F"/>
      </w:tcPr>
    </w:tblStylePr>
    <w:tblStylePr w:type="band2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tcPr>
    </w:tblStylePr>
  </w:style>
  <w:style w:type="paragraph" w:styleId="Footer">
    <w:name w:val="footer"/>
    <w:basedOn w:val="Normal"/>
    <w:link w:val="FooterChar"/>
    <w:uiPriority w:val="99"/>
    <w:unhideWhenUsed/>
    <w:rsid w:val="00F403A0"/>
    <w:pPr>
      <w:tabs>
        <w:tab w:val="center" w:pos="4320"/>
        <w:tab w:val="right" w:pos="8640"/>
      </w:tabs>
    </w:pPr>
  </w:style>
  <w:style w:type="character" w:customStyle="1" w:styleId="FooterChar">
    <w:name w:val="Footer Char"/>
    <w:basedOn w:val="DefaultParagraphFont"/>
    <w:link w:val="Footer"/>
    <w:uiPriority w:val="99"/>
    <w:rsid w:val="00F403A0"/>
  </w:style>
  <w:style w:type="character" w:styleId="PageNumber">
    <w:name w:val="page number"/>
    <w:basedOn w:val="DefaultParagraphFont"/>
    <w:uiPriority w:val="99"/>
    <w:semiHidden/>
    <w:unhideWhenUsed/>
    <w:rsid w:val="00F403A0"/>
  </w:style>
  <w:style w:type="table" w:styleId="LightShading-Accent4">
    <w:name w:val="Light Shading Accent 4"/>
    <w:basedOn w:val="TableNormal"/>
    <w:uiPriority w:val="60"/>
    <w:rsid w:val="001C0084"/>
    <w:rPr>
      <w:color w:val="463F90" w:themeColor="accent4" w:themeShade="BF"/>
    </w:rPr>
    <w:tblPr>
      <w:tblStyleRowBandSize w:val="1"/>
      <w:tblStyleColBandSize w:val="1"/>
      <w:tblBorders>
        <w:top w:val="single" w:sz="8" w:space="0" w:color="665EB8" w:themeColor="accent4"/>
        <w:bottom w:val="single" w:sz="8" w:space="0" w:color="665EB8" w:themeColor="accent4"/>
      </w:tblBorders>
    </w:tblPr>
    <w:tblStylePr w:type="firstRow">
      <w:pPr>
        <w:spacing w:before="0" w:after="0" w:line="240" w:lineRule="auto"/>
      </w:pPr>
      <w:rPr>
        <w:b/>
        <w:bCs/>
      </w:rPr>
      <w:tblPr/>
      <w:tcPr>
        <w:tcBorders>
          <w:top w:val="single" w:sz="8" w:space="0" w:color="665EB8" w:themeColor="accent4"/>
          <w:left w:val="nil"/>
          <w:bottom w:val="single" w:sz="8" w:space="0" w:color="665EB8" w:themeColor="accent4"/>
          <w:right w:val="nil"/>
          <w:insideH w:val="nil"/>
          <w:insideV w:val="nil"/>
        </w:tcBorders>
      </w:tcPr>
    </w:tblStylePr>
    <w:tblStylePr w:type="lastRow">
      <w:pPr>
        <w:spacing w:before="0" w:after="0" w:line="240" w:lineRule="auto"/>
      </w:pPr>
      <w:rPr>
        <w:b/>
        <w:bCs/>
      </w:rPr>
      <w:tblPr/>
      <w:tcPr>
        <w:tcBorders>
          <w:top w:val="single" w:sz="8" w:space="0" w:color="665EB8" w:themeColor="accent4"/>
          <w:left w:val="nil"/>
          <w:bottom w:val="single" w:sz="8" w:space="0" w:color="665EB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7ED" w:themeFill="accent4" w:themeFillTint="3F"/>
      </w:tcPr>
    </w:tblStylePr>
    <w:tblStylePr w:type="band1Horz">
      <w:tblPr/>
      <w:tcPr>
        <w:tcBorders>
          <w:left w:val="nil"/>
          <w:right w:val="nil"/>
          <w:insideH w:val="nil"/>
          <w:insideV w:val="nil"/>
        </w:tcBorders>
        <w:shd w:val="clear" w:color="auto" w:fill="D9D7ED" w:themeFill="accent4" w:themeFillTint="3F"/>
      </w:tcPr>
    </w:tblStylePr>
  </w:style>
  <w:style w:type="table" w:styleId="LightList-Accent4">
    <w:name w:val="Light List Accent 4"/>
    <w:basedOn w:val="TableNormal"/>
    <w:uiPriority w:val="61"/>
    <w:rsid w:val="001C0084"/>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tblBorders>
    </w:tblPr>
    <w:tblStylePr w:type="firstRow">
      <w:pPr>
        <w:spacing w:before="0" w:after="0" w:line="240" w:lineRule="auto"/>
      </w:pPr>
      <w:rPr>
        <w:b/>
        <w:bCs/>
        <w:color w:val="FFFFFF" w:themeColor="background1"/>
      </w:rPr>
      <w:tblPr/>
      <w:tcPr>
        <w:shd w:val="clear" w:color="auto" w:fill="665EB8" w:themeFill="accent4"/>
      </w:tcPr>
    </w:tblStylePr>
    <w:tblStylePr w:type="lastRow">
      <w:pPr>
        <w:spacing w:before="0" w:after="0" w:line="240" w:lineRule="auto"/>
      </w:pPr>
      <w:rPr>
        <w:b/>
        <w:bCs/>
      </w:rPr>
      <w:tblPr/>
      <w:tcPr>
        <w:tcBorders>
          <w:top w:val="double" w:sz="6" w:space="0" w:color="665EB8" w:themeColor="accent4"/>
          <w:left w:val="single" w:sz="8" w:space="0" w:color="665EB8" w:themeColor="accent4"/>
          <w:bottom w:val="single" w:sz="8" w:space="0" w:color="665EB8" w:themeColor="accent4"/>
          <w:right w:val="single" w:sz="8" w:space="0" w:color="665EB8" w:themeColor="accent4"/>
        </w:tcBorders>
      </w:tcPr>
    </w:tblStylePr>
    <w:tblStylePr w:type="firstCol">
      <w:rPr>
        <w:b/>
        <w:bCs/>
      </w:rPr>
    </w:tblStylePr>
    <w:tblStylePr w:type="lastCol">
      <w:rPr>
        <w:b/>
        <w:bCs/>
      </w:rPr>
    </w:tblStylePr>
    <w:tblStylePr w:type="band1Vert">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tblStylePr w:type="band1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style>
  <w:style w:type="paragraph" w:styleId="NormalWeb">
    <w:name w:val="Normal (Web)"/>
    <w:basedOn w:val="Normal"/>
    <w:unhideWhenUsed/>
    <w:rsid w:val="001A67F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012DF"/>
    <w:rPr>
      <w:color w:val="666699" w:themeColor="followedHyperlink"/>
      <w:u w:val="single"/>
    </w:rPr>
  </w:style>
  <w:style w:type="paragraph" w:customStyle="1" w:styleId="Normal1">
    <w:name w:val="Normal1"/>
    <w:rsid w:val="00351D5B"/>
    <w:pPr>
      <w:tabs>
        <w:tab w:val="left" w:pos="567"/>
        <w:tab w:val="left" w:pos="851"/>
        <w:tab w:val="left" w:pos="1134"/>
        <w:tab w:val="left" w:pos="2268"/>
        <w:tab w:val="left" w:pos="3402"/>
        <w:tab w:val="left" w:pos="4536"/>
        <w:tab w:val="left" w:pos="5670"/>
        <w:tab w:val="left" w:pos="6804"/>
        <w:tab w:val="right" w:pos="7938"/>
      </w:tabs>
    </w:pPr>
    <w:rPr>
      <w:rFonts w:ascii="Arial" w:eastAsia="Arial" w:hAnsi="Arial" w:cs="Arial"/>
      <w:color w:val="000000"/>
      <w:sz w:val="20"/>
      <w:szCs w:val="20"/>
      <w:lang w:val="en-GB" w:eastAsia="ja-JP"/>
    </w:rPr>
  </w:style>
  <w:style w:type="character" w:customStyle="1" w:styleId="Heading3Char">
    <w:name w:val="Heading 3 Char"/>
    <w:basedOn w:val="DefaultParagraphFont"/>
    <w:link w:val="Heading3"/>
    <w:uiPriority w:val="9"/>
    <w:semiHidden/>
    <w:rsid w:val="005D4523"/>
    <w:rPr>
      <w:rFonts w:asciiTheme="majorHAnsi" w:eastAsiaTheme="majorEastAsia" w:hAnsiTheme="majorHAnsi" w:cstheme="majorBidi"/>
      <w:color w:val="481346" w:themeColor="accent1" w:themeShade="7F"/>
    </w:rPr>
  </w:style>
  <w:style w:type="character" w:styleId="Strong">
    <w:name w:val="Strong"/>
    <w:basedOn w:val="DefaultParagraphFont"/>
    <w:qFormat/>
    <w:rsid w:val="005D4523"/>
    <w:rPr>
      <w:b/>
      <w:bCs/>
    </w:rPr>
  </w:style>
  <w:style w:type="paragraph" w:styleId="Header">
    <w:name w:val="header"/>
    <w:basedOn w:val="Normal"/>
    <w:link w:val="HeaderChar"/>
    <w:uiPriority w:val="99"/>
    <w:unhideWhenUsed/>
    <w:rsid w:val="0091420B"/>
    <w:pPr>
      <w:tabs>
        <w:tab w:val="center" w:pos="4680"/>
        <w:tab w:val="right" w:pos="9360"/>
      </w:tabs>
    </w:pPr>
  </w:style>
  <w:style w:type="character" w:customStyle="1" w:styleId="HeaderChar">
    <w:name w:val="Header Char"/>
    <w:basedOn w:val="DefaultParagraphFont"/>
    <w:link w:val="Header"/>
    <w:uiPriority w:val="99"/>
    <w:rsid w:val="0091420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8549">
      <w:bodyDiv w:val="1"/>
      <w:marLeft w:val="0"/>
      <w:marRight w:val="0"/>
      <w:marTop w:val="0"/>
      <w:marBottom w:val="0"/>
      <w:divBdr>
        <w:top w:val="none" w:sz="0" w:space="0" w:color="auto"/>
        <w:left w:val="none" w:sz="0" w:space="0" w:color="auto"/>
        <w:bottom w:val="none" w:sz="0" w:space="0" w:color="auto"/>
        <w:right w:val="none" w:sz="0" w:space="0" w:color="auto"/>
      </w:divBdr>
    </w:div>
    <w:div w:id="272827650">
      <w:bodyDiv w:val="1"/>
      <w:marLeft w:val="0"/>
      <w:marRight w:val="0"/>
      <w:marTop w:val="0"/>
      <w:marBottom w:val="0"/>
      <w:divBdr>
        <w:top w:val="none" w:sz="0" w:space="0" w:color="auto"/>
        <w:left w:val="none" w:sz="0" w:space="0" w:color="auto"/>
        <w:bottom w:val="none" w:sz="0" w:space="0" w:color="auto"/>
        <w:right w:val="none" w:sz="0" w:space="0" w:color="auto"/>
      </w:divBdr>
    </w:div>
    <w:div w:id="592979303">
      <w:bodyDiv w:val="1"/>
      <w:marLeft w:val="0"/>
      <w:marRight w:val="0"/>
      <w:marTop w:val="0"/>
      <w:marBottom w:val="0"/>
      <w:divBdr>
        <w:top w:val="none" w:sz="0" w:space="0" w:color="auto"/>
        <w:left w:val="none" w:sz="0" w:space="0" w:color="auto"/>
        <w:bottom w:val="none" w:sz="0" w:space="0" w:color="auto"/>
        <w:right w:val="none" w:sz="0" w:space="0" w:color="auto"/>
      </w:divBdr>
    </w:div>
    <w:div w:id="715661212">
      <w:bodyDiv w:val="1"/>
      <w:marLeft w:val="0"/>
      <w:marRight w:val="0"/>
      <w:marTop w:val="0"/>
      <w:marBottom w:val="0"/>
      <w:divBdr>
        <w:top w:val="none" w:sz="0" w:space="0" w:color="auto"/>
        <w:left w:val="none" w:sz="0" w:space="0" w:color="auto"/>
        <w:bottom w:val="none" w:sz="0" w:space="0" w:color="auto"/>
        <w:right w:val="none" w:sz="0" w:space="0" w:color="auto"/>
      </w:divBdr>
    </w:div>
    <w:div w:id="739208848">
      <w:bodyDiv w:val="1"/>
      <w:marLeft w:val="0"/>
      <w:marRight w:val="0"/>
      <w:marTop w:val="0"/>
      <w:marBottom w:val="0"/>
      <w:divBdr>
        <w:top w:val="none" w:sz="0" w:space="0" w:color="auto"/>
        <w:left w:val="none" w:sz="0" w:space="0" w:color="auto"/>
        <w:bottom w:val="none" w:sz="0" w:space="0" w:color="auto"/>
        <w:right w:val="none" w:sz="0" w:space="0" w:color="auto"/>
      </w:divBdr>
    </w:div>
    <w:div w:id="843786185">
      <w:bodyDiv w:val="1"/>
      <w:marLeft w:val="0"/>
      <w:marRight w:val="0"/>
      <w:marTop w:val="0"/>
      <w:marBottom w:val="0"/>
      <w:divBdr>
        <w:top w:val="none" w:sz="0" w:space="0" w:color="auto"/>
        <w:left w:val="none" w:sz="0" w:space="0" w:color="auto"/>
        <w:bottom w:val="none" w:sz="0" w:space="0" w:color="auto"/>
        <w:right w:val="none" w:sz="0" w:space="0" w:color="auto"/>
      </w:divBdr>
    </w:div>
    <w:div w:id="1020274920">
      <w:bodyDiv w:val="1"/>
      <w:marLeft w:val="0"/>
      <w:marRight w:val="0"/>
      <w:marTop w:val="0"/>
      <w:marBottom w:val="0"/>
      <w:divBdr>
        <w:top w:val="none" w:sz="0" w:space="0" w:color="auto"/>
        <w:left w:val="none" w:sz="0" w:space="0" w:color="auto"/>
        <w:bottom w:val="none" w:sz="0" w:space="0" w:color="auto"/>
        <w:right w:val="none" w:sz="0" w:space="0" w:color="auto"/>
      </w:divBdr>
      <w:divsChild>
        <w:div w:id="376203514">
          <w:marLeft w:val="547"/>
          <w:marRight w:val="0"/>
          <w:marTop w:val="106"/>
          <w:marBottom w:val="0"/>
          <w:divBdr>
            <w:top w:val="none" w:sz="0" w:space="0" w:color="auto"/>
            <w:left w:val="none" w:sz="0" w:space="0" w:color="auto"/>
            <w:bottom w:val="none" w:sz="0" w:space="0" w:color="auto"/>
            <w:right w:val="none" w:sz="0" w:space="0" w:color="auto"/>
          </w:divBdr>
        </w:div>
        <w:div w:id="95292331">
          <w:marLeft w:val="547"/>
          <w:marRight w:val="0"/>
          <w:marTop w:val="106"/>
          <w:marBottom w:val="0"/>
          <w:divBdr>
            <w:top w:val="none" w:sz="0" w:space="0" w:color="auto"/>
            <w:left w:val="none" w:sz="0" w:space="0" w:color="auto"/>
            <w:bottom w:val="none" w:sz="0" w:space="0" w:color="auto"/>
            <w:right w:val="none" w:sz="0" w:space="0" w:color="auto"/>
          </w:divBdr>
        </w:div>
        <w:div w:id="1880239682">
          <w:marLeft w:val="547"/>
          <w:marRight w:val="0"/>
          <w:marTop w:val="106"/>
          <w:marBottom w:val="0"/>
          <w:divBdr>
            <w:top w:val="none" w:sz="0" w:space="0" w:color="auto"/>
            <w:left w:val="none" w:sz="0" w:space="0" w:color="auto"/>
            <w:bottom w:val="none" w:sz="0" w:space="0" w:color="auto"/>
            <w:right w:val="none" w:sz="0" w:space="0" w:color="auto"/>
          </w:divBdr>
        </w:div>
        <w:div w:id="1930040308">
          <w:marLeft w:val="547"/>
          <w:marRight w:val="0"/>
          <w:marTop w:val="106"/>
          <w:marBottom w:val="0"/>
          <w:divBdr>
            <w:top w:val="none" w:sz="0" w:space="0" w:color="auto"/>
            <w:left w:val="none" w:sz="0" w:space="0" w:color="auto"/>
            <w:bottom w:val="none" w:sz="0" w:space="0" w:color="auto"/>
            <w:right w:val="none" w:sz="0" w:space="0" w:color="auto"/>
          </w:divBdr>
        </w:div>
        <w:div w:id="1556500515">
          <w:marLeft w:val="547"/>
          <w:marRight w:val="0"/>
          <w:marTop w:val="106"/>
          <w:marBottom w:val="0"/>
          <w:divBdr>
            <w:top w:val="none" w:sz="0" w:space="0" w:color="auto"/>
            <w:left w:val="none" w:sz="0" w:space="0" w:color="auto"/>
            <w:bottom w:val="none" w:sz="0" w:space="0" w:color="auto"/>
            <w:right w:val="none" w:sz="0" w:space="0" w:color="auto"/>
          </w:divBdr>
        </w:div>
        <w:div w:id="500389332">
          <w:marLeft w:val="547"/>
          <w:marRight w:val="0"/>
          <w:marTop w:val="106"/>
          <w:marBottom w:val="0"/>
          <w:divBdr>
            <w:top w:val="none" w:sz="0" w:space="0" w:color="auto"/>
            <w:left w:val="none" w:sz="0" w:space="0" w:color="auto"/>
            <w:bottom w:val="none" w:sz="0" w:space="0" w:color="auto"/>
            <w:right w:val="none" w:sz="0" w:space="0" w:color="auto"/>
          </w:divBdr>
        </w:div>
      </w:divsChild>
    </w:div>
    <w:div w:id="1389953866">
      <w:bodyDiv w:val="1"/>
      <w:marLeft w:val="0"/>
      <w:marRight w:val="0"/>
      <w:marTop w:val="0"/>
      <w:marBottom w:val="0"/>
      <w:divBdr>
        <w:top w:val="none" w:sz="0" w:space="0" w:color="auto"/>
        <w:left w:val="none" w:sz="0" w:space="0" w:color="auto"/>
        <w:bottom w:val="none" w:sz="0" w:space="0" w:color="auto"/>
        <w:right w:val="none" w:sz="0" w:space="0" w:color="auto"/>
      </w:divBdr>
      <w:divsChild>
        <w:div w:id="1798141429">
          <w:marLeft w:val="547"/>
          <w:marRight w:val="0"/>
          <w:marTop w:val="0"/>
          <w:marBottom w:val="0"/>
          <w:divBdr>
            <w:top w:val="none" w:sz="0" w:space="0" w:color="auto"/>
            <w:left w:val="none" w:sz="0" w:space="0" w:color="auto"/>
            <w:bottom w:val="none" w:sz="0" w:space="0" w:color="auto"/>
            <w:right w:val="none" w:sz="0" w:space="0" w:color="auto"/>
          </w:divBdr>
        </w:div>
      </w:divsChild>
    </w:div>
    <w:div w:id="1471635750">
      <w:bodyDiv w:val="1"/>
      <w:marLeft w:val="0"/>
      <w:marRight w:val="0"/>
      <w:marTop w:val="0"/>
      <w:marBottom w:val="0"/>
      <w:divBdr>
        <w:top w:val="none" w:sz="0" w:space="0" w:color="auto"/>
        <w:left w:val="none" w:sz="0" w:space="0" w:color="auto"/>
        <w:bottom w:val="none" w:sz="0" w:space="0" w:color="auto"/>
        <w:right w:val="none" w:sz="0" w:space="0" w:color="auto"/>
      </w:divBdr>
    </w:div>
    <w:div w:id="2018384356">
      <w:bodyDiv w:val="1"/>
      <w:marLeft w:val="0"/>
      <w:marRight w:val="0"/>
      <w:marTop w:val="0"/>
      <w:marBottom w:val="0"/>
      <w:divBdr>
        <w:top w:val="none" w:sz="0" w:space="0" w:color="auto"/>
        <w:left w:val="none" w:sz="0" w:space="0" w:color="auto"/>
        <w:bottom w:val="none" w:sz="0" w:space="0" w:color="auto"/>
        <w:right w:val="none" w:sz="0" w:space="0" w:color="auto"/>
      </w:divBdr>
      <w:divsChild>
        <w:div w:id="1577469468">
          <w:marLeft w:val="547"/>
          <w:marRight w:val="0"/>
          <w:marTop w:val="125"/>
          <w:marBottom w:val="0"/>
          <w:divBdr>
            <w:top w:val="none" w:sz="0" w:space="0" w:color="auto"/>
            <w:left w:val="none" w:sz="0" w:space="0" w:color="auto"/>
            <w:bottom w:val="none" w:sz="0" w:space="0" w:color="auto"/>
            <w:right w:val="none" w:sz="0" w:space="0" w:color="auto"/>
          </w:divBdr>
        </w:div>
        <w:div w:id="2054192930">
          <w:marLeft w:val="547"/>
          <w:marRight w:val="0"/>
          <w:marTop w:val="125"/>
          <w:marBottom w:val="0"/>
          <w:divBdr>
            <w:top w:val="none" w:sz="0" w:space="0" w:color="auto"/>
            <w:left w:val="none" w:sz="0" w:space="0" w:color="auto"/>
            <w:bottom w:val="none" w:sz="0" w:space="0" w:color="auto"/>
            <w:right w:val="none" w:sz="0" w:space="0" w:color="auto"/>
          </w:divBdr>
        </w:div>
        <w:div w:id="206450836">
          <w:marLeft w:val="547"/>
          <w:marRight w:val="0"/>
          <w:marTop w:val="125"/>
          <w:marBottom w:val="0"/>
          <w:divBdr>
            <w:top w:val="none" w:sz="0" w:space="0" w:color="auto"/>
            <w:left w:val="none" w:sz="0" w:space="0" w:color="auto"/>
            <w:bottom w:val="none" w:sz="0" w:space="0" w:color="auto"/>
            <w:right w:val="none" w:sz="0" w:space="0" w:color="auto"/>
          </w:divBdr>
        </w:div>
        <w:div w:id="560596515">
          <w:marLeft w:val="547"/>
          <w:marRight w:val="0"/>
          <w:marTop w:val="125"/>
          <w:marBottom w:val="0"/>
          <w:divBdr>
            <w:top w:val="none" w:sz="0" w:space="0" w:color="auto"/>
            <w:left w:val="none" w:sz="0" w:space="0" w:color="auto"/>
            <w:bottom w:val="none" w:sz="0" w:space="0" w:color="auto"/>
            <w:right w:val="none" w:sz="0" w:space="0" w:color="auto"/>
          </w:divBdr>
        </w:div>
        <w:div w:id="359361146">
          <w:marLeft w:val="547"/>
          <w:marRight w:val="0"/>
          <w:marTop w:val="125"/>
          <w:marBottom w:val="0"/>
          <w:divBdr>
            <w:top w:val="none" w:sz="0" w:space="0" w:color="auto"/>
            <w:left w:val="none" w:sz="0" w:space="0" w:color="auto"/>
            <w:bottom w:val="none" w:sz="0" w:space="0" w:color="auto"/>
            <w:right w:val="none" w:sz="0" w:space="0" w:color="auto"/>
          </w:divBdr>
        </w:div>
        <w:div w:id="278991419">
          <w:marLeft w:val="547"/>
          <w:marRight w:val="0"/>
          <w:marTop w:val="12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wdf.org/" TargetMode="External"/><Relationship Id="rId13" Type="http://schemas.openxmlformats.org/officeDocument/2006/relationships/hyperlink" Target="http://www.globalgoals.org/global-goals/gender-equality/"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R294RLpPH5I"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mi-iiwf.org/index-fondo.php" TargetMode="Externa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www.womensfundasia.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jeresdelsur.org/sitio/" TargetMode="Externa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97FB36-6FE9-46D6-90D0-F274144203C6}"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GB"/>
        </a:p>
      </dgm:t>
    </dgm:pt>
    <dgm:pt modelId="{115F7996-4AB5-431F-B6CD-19872AD8570F}">
      <dgm:prSet phldrT="[Text]" custT="1"/>
      <dgm:spPr/>
      <dgm:t>
        <a:bodyPr/>
        <a:lstStyle/>
        <a:p>
          <a:r>
            <a:rPr lang="en-GB" sz="1400">
              <a:latin typeface="Tahoma" panose="020B0604030504040204" pitchFamily="34" charset="0"/>
              <a:ea typeface="Tahoma" panose="020B0604030504040204" pitchFamily="34" charset="0"/>
              <a:cs typeface="Tahoma" panose="020B0604030504040204" pitchFamily="34" charset="0"/>
            </a:rPr>
            <a:t>Yalla grants</a:t>
          </a:r>
        </a:p>
      </dgm:t>
    </dgm:pt>
    <dgm:pt modelId="{045696EA-0F65-4201-B073-8837E218CB62}" type="parTrans" cxnId="{CC5DD8FC-C814-45CC-A0FB-5FF2617B1513}">
      <dgm:prSet/>
      <dgm:spPr/>
      <dgm:t>
        <a:bodyPr/>
        <a:lstStyle/>
        <a:p>
          <a:endParaRPr lang="en-GB"/>
        </a:p>
      </dgm:t>
    </dgm:pt>
    <dgm:pt modelId="{C395FFDB-606F-4D5F-A95C-3EA932270404}" type="sibTrans" cxnId="{CC5DD8FC-C814-45CC-A0FB-5FF2617B1513}">
      <dgm:prSet/>
      <dgm:spPr/>
      <dgm:t>
        <a:bodyPr/>
        <a:lstStyle/>
        <a:p>
          <a:endParaRPr lang="en-GB"/>
        </a:p>
      </dgm:t>
    </dgm:pt>
    <dgm:pt modelId="{6FCE3464-E6C2-487C-AB10-C3589BDBC4C7}">
      <dgm:prSet phldrT="[Text]" custT="1"/>
      <dgm:spPr/>
      <dgm:t>
        <a:bodyPr/>
        <a:lstStyle/>
        <a:p>
          <a:pPr algn="l"/>
          <a:r>
            <a:rPr lang="en-GB" sz="1000" b="1">
              <a:latin typeface="Tahoma" panose="020B0604030504040204" pitchFamily="34" charset="0"/>
              <a:ea typeface="Tahoma" panose="020B0604030504040204" pitchFamily="34" charset="0"/>
              <a:cs typeface="Tahoma" panose="020B0604030504040204" pitchFamily="34" charset="0"/>
            </a:rPr>
            <a:t>Size: </a:t>
          </a:r>
          <a:r>
            <a:rPr lang="en-GB" sz="1000">
              <a:latin typeface="Tahoma" panose="020B0604030504040204" pitchFamily="34" charset="0"/>
              <a:ea typeface="Tahoma" panose="020B0604030504040204" pitchFamily="34" charset="0"/>
              <a:cs typeface="Tahoma" panose="020B0604030504040204" pitchFamily="34" charset="0"/>
            </a:rPr>
            <a:t>US$20,000 to US$ 50,000 a year for up to 2 years</a:t>
          </a:r>
        </a:p>
      </dgm:t>
    </dgm:pt>
    <dgm:pt modelId="{DF533B1A-BF90-4166-9840-95C8C6C9EE36}" type="parTrans" cxnId="{B1C46EC2-CF11-4E92-BEDF-1260EB5747D8}">
      <dgm:prSet/>
      <dgm:spPr/>
      <dgm:t>
        <a:bodyPr/>
        <a:lstStyle/>
        <a:p>
          <a:endParaRPr lang="en-GB"/>
        </a:p>
      </dgm:t>
    </dgm:pt>
    <dgm:pt modelId="{CEE6B01A-88D3-459E-8C45-24D6E1F4CDB5}" type="sibTrans" cxnId="{B1C46EC2-CF11-4E92-BEDF-1260EB5747D8}">
      <dgm:prSet/>
      <dgm:spPr/>
      <dgm:t>
        <a:bodyPr/>
        <a:lstStyle/>
        <a:p>
          <a:endParaRPr lang="en-GB"/>
        </a:p>
      </dgm:t>
    </dgm:pt>
    <dgm:pt modelId="{BBA1A56F-192A-48AD-86FD-EA5599A85994}">
      <dgm:prSet phldrT="[Text]" custT="1"/>
      <dgm:spPr/>
      <dgm:t>
        <a:bodyPr/>
        <a:lstStyle/>
        <a:p>
          <a:r>
            <a:rPr lang="en-GB" sz="1400">
              <a:latin typeface="Tahoma" panose="020B0604030504040204" pitchFamily="34" charset="0"/>
              <a:ea typeface="Tahoma" panose="020B0604030504040204" pitchFamily="34" charset="0"/>
              <a:cs typeface="Tahoma" panose="020B0604030504040204" pitchFamily="34" charset="0"/>
            </a:rPr>
            <a:t>Ananse grants</a:t>
          </a:r>
        </a:p>
      </dgm:t>
    </dgm:pt>
    <dgm:pt modelId="{22208B56-F740-485B-95EA-776A5C0942C6}" type="parTrans" cxnId="{F72592D4-7FDC-468A-AE16-F2FECCE4D053}">
      <dgm:prSet/>
      <dgm:spPr/>
      <dgm:t>
        <a:bodyPr/>
        <a:lstStyle/>
        <a:p>
          <a:endParaRPr lang="en-GB"/>
        </a:p>
      </dgm:t>
    </dgm:pt>
    <dgm:pt modelId="{0041C04A-769E-4EF3-9935-615C0C73E63A}" type="sibTrans" cxnId="{F72592D4-7FDC-468A-AE16-F2FECCE4D053}">
      <dgm:prSet/>
      <dgm:spPr/>
      <dgm:t>
        <a:bodyPr/>
        <a:lstStyle/>
        <a:p>
          <a:endParaRPr lang="en-GB"/>
        </a:p>
      </dgm:t>
    </dgm:pt>
    <dgm:pt modelId="{A629E855-8D1A-4239-ABBD-4772210D223C}">
      <dgm:prSet phldrT="[Text]" custT="1"/>
      <dgm:spPr/>
      <dgm:t>
        <a:bodyPr/>
        <a:lstStyle/>
        <a:p>
          <a:r>
            <a:rPr lang="en-GB" sz="1000" b="1">
              <a:latin typeface="Tahoma" panose="020B0604030504040204" pitchFamily="34" charset="0"/>
              <a:ea typeface="Tahoma" panose="020B0604030504040204" pitchFamily="34" charset="0"/>
              <a:cs typeface="Tahoma" panose="020B0604030504040204" pitchFamily="34" charset="0"/>
            </a:rPr>
            <a:t>Size:</a:t>
          </a:r>
          <a:r>
            <a:rPr lang="en-GB" sz="1000">
              <a:latin typeface="Tahoma" panose="020B0604030504040204" pitchFamily="34" charset="0"/>
              <a:ea typeface="Tahoma" panose="020B0604030504040204" pitchFamily="34" charset="0"/>
              <a:cs typeface="Tahoma" panose="020B0604030504040204" pitchFamily="34" charset="0"/>
            </a:rPr>
            <a:t>US$51,000 to    US$ 199,000 a year for up to 2 years</a:t>
          </a:r>
        </a:p>
      </dgm:t>
    </dgm:pt>
    <dgm:pt modelId="{0CE23B03-A1A2-4233-9CBC-EF7F1D0A465E}" type="parTrans" cxnId="{FF0FDF7A-3EEE-4841-A114-4FA360FD1520}">
      <dgm:prSet/>
      <dgm:spPr/>
      <dgm:t>
        <a:bodyPr/>
        <a:lstStyle/>
        <a:p>
          <a:endParaRPr lang="en-GB"/>
        </a:p>
      </dgm:t>
    </dgm:pt>
    <dgm:pt modelId="{8C4637B1-300D-41B2-BFD4-44886F254D8A}" type="sibTrans" cxnId="{FF0FDF7A-3EEE-4841-A114-4FA360FD1520}">
      <dgm:prSet/>
      <dgm:spPr/>
      <dgm:t>
        <a:bodyPr/>
        <a:lstStyle/>
        <a:p>
          <a:endParaRPr lang="en-GB"/>
        </a:p>
      </dgm:t>
    </dgm:pt>
    <dgm:pt modelId="{9707CA6A-0DEC-48B7-A54E-2A8FF355E2C5}">
      <dgm:prSet phldrT="[Text]" custT="1"/>
      <dgm:spPr/>
      <dgm:t>
        <a:bodyPr/>
        <a:lstStyle/>
        <a:p>
          <a:r>
            <a:rPr lang="en-GB" sz="1400">
              <a:latin typeface="Tahoma" panose="020B0604030504040204" pitchFamily="34" charset="0"/>
              <a:ea typeface="Tahoma" panose="020B0604030504040204" pitchFamily="34" charset="0"/>
              <a:cs typeface="Tahoma" panose="020B0604030504040204" pitchFamily="34" charset="0"/>
            </a:rPr>
            <a:t>Pamoja grants</a:t>
          </a:r>
        </a:p>
      </dgm:t>
    </dgm:pt>
    <dgm:pt modelId="{6ED795DF-9294-4676-B727-ADA545590A25}" type="parTrans" cxnId="{5D14A487-4F10-4A2B-BC72-541ED0EB824C}">
      <dgm:prSet/>
      <dgm:spPr/>
      <dgm:t>
        <a:bodyPr/>
        <a:lstStyle/>
        <a:p>
          <a:endParaRPr lang="en-GB"/>
        </a:p>
      </dgm:t>
    </dgm:pt>
    <dgm:pt modelId="{FEDC1393-5F87-457A-9EF9-1CC23CBF4193}" type="sibTrans" cxnId="{5D14A487-4F10-4A2B-BC72-541ED0EB824C}">
      <dgm:prSet/>
      <dgm:spPr/>
      <dgm:t>
        <a:bodyPr/>
        <a:lstStyle/>
        <a:p>
          <a:endParaRPr lang="en-GB"/>
        </a:p>
      </dgm:t>
    </dgm:pt>
    <dgm:pt modelId="{27B07E9E-E6AF-4005-9C56-B41FBC8F0F4A}">
      <dgm:prSet phldrT="[Text]" custT="1"/>
      <dgm:spPr/>
      <dgm:t>
        <a:bodyPr/>
        <a:lstStyle/>
        <a:p>
          <a:r>
            <a:rPr lang="en-GB" sz="1000" b="1">
              <a:latin typeface="Tahoma" panose="020B0604030504040204" pitchFamily="34" charset="0"/>
              <a:ea typeface="Tahoma" panose="020B0604030504040204" pitchFamily="34" charset="0"/>
              <a:cs typeface="Tahoma" panose="020B0604030504040204" pitchFamily="34" charset="0"/>
            </a:rPr>
            <a:t>Size: </a:t>
          </a:r>
          <a:r>
            <a:rPr lang="en-GB" sz="1000">
              <a:latin typeface="Tahoma" panose="020B0604030504040204" pitchFamily="34" charset="0"/>
              <a:ea typeface="Tahoma" panose="020B0604030504040204" pitchFamily="34" charset="0"/>
              <a:cs typeface="Tahoma" panose="020B0604030504040204" pitchFamily="34" charset="0"/>
            </a:rPr>
            <a:t>US$200,000 to US$500,000 a year for up to 2 years</a:t>
          </a:r>
        </a:p>
      </dgm:t>
    </dgm:pt>
    <dgm:pt modelId="{4D1DBBC7-4AD4-43AA-B0F9-9275B1AE6783}" type="parTrans" cxnId="{57B214C1-C726-4BCB-94A2-0BB4261EBFF3}">
      <dgm:prSet/>
      <dgm:spPr/>
      <dgm:t>
        <a:bodyPr/>
        <a:lstStyle/>
        <a:p>
          <a:endParaRPr lang="en-GB"/>
        </a:p>
      </dgm:t>
    </dgm:pt>
    <dgm:pt modelId="{9C483AFF-7A28-454A-B6D1-200E307C59CE}" type="sibTrans" cxnId="{57B214C1-C726-4BCB-94A2-0BB4261EBFF3}">
      <dgm:prSet/>
      <dgm:spPr/>
      <dgm:t>
        <a:bodyPr/>
        <a:lstStyle/>
        <a:p>
          <a:endParaRPr lang="en-GB"/>
        </a:p>
      </dgm:t>
    </dgm:pt>
    <dgm:pt modelId="{92850C79-9E1C-4DA4-BAAC-815E0718B083}">
      <dgm:prSet phldrT="[Text]" custT="1"/>
      <dgm:spPr/>
      <dgm:t>
        <a:bodyPr/>
        <a:lstStyle/>
        <a:p>
          <a:pPr algn="l"/>
          <a:r>
            <a:rPr lang="en-GB" sz="1000">
              <a:latin typeface="Tahoma" panose="020B0604030504040204" pitchFamily="34" charset="0"/>
              <a:ea typeface="Tahoma" panose="020B0604030504040204" pitchFamily="34" charset="0"/>
              <a:cs typeface="Tahoma" panose="020B0604030504040204" pitchFamily="34" charset="0"/>
            </a:rPr>
            <a:t> </a:t>
          </a:r>
          <a:r>
            <a:rPr lang="en-GB" sz="1000" b="1">
              <a:latin typeface="Tahoma" panose="020B0604030504040204" pitchFamily="34" charset="0"/>
              <a:ea typeface="Tahoma" panose="020B0604030504040204" pitchFamily="34" charset="0"/>
              <a:cs typeface="Tahoma" panose="020B0604030504040204" pitchFamily="34" charset="0"/>
            </a:rPr>
            <a:t>Geographic scope:</a:t>
          </a:r>
          <a:r>
            <a:rPr lang="en-GB" sz="1000">
              <a:latin typeface="Tahoma" panose="020B0604030504040204" pitchFamily="34" charset="0"/>
              <a:ea typeface="Tahoma" panose="020B0604030504040204" pitchFamily="34" charset="0"/>
              <a:cs typeface="Tahoma" panose="020B0604030504040204" pitchFamily="34" charset="0"/>
            </a:rPr>
            <a:t> Local and national</a:t>
          </a:r>
        </a:p>
      </dgm:t>
    </dgm:pt>
    <dgm:pt modelId="{9A2058A4-3653-4A8B-97D9-8C609B3CFFAD}" type="parTrans" cxnId="{BA9FD2C4-6FBC-4E86-93DD-78F4F209832E}">
      <dgm:prSet/>
      <dgm:spPr/>
      <dgm:t>
        <a:bodyPr/>
        <a:lstStyle/>
        <a:p>
          <a:endParaRPr lang="en-GB"/>
        </a:p>
      </dgm:t>
    </dgm:pt>
    <dgm:pt modelId="{440F1EBC-6BD1-4A8B-8A02-F2F1D90C8372}" type="sibTrans" cxnId="{BA9FD2C4-6FBC-4E86-93DD-78F4F209832E}">
      <dgm:prSet/>
      <dgm:spPr/>
      <dgm:t>
        <a:bodyPr/>
        <a:lstStyle/>
        <a:p>
          <a:endParaRPr lang="en-GB"/>
        </a:p>
      </dgm:t>
    </dgm:pt>
    <dgm:pt modelId="{D20845DA-7980-4842-ADB6-7898DA987754}">
      <dgm:prSet phldrT="[Text]" custT="1"/>
      <dgm:spPr/>
      <dgm:t>
        <a:bodyPr/>
        <a:lstStyle/>
        <a:p>
          <a:pPr algn="l"/>
          <a:r>
            <a:rPr lang="en-GB" sz="1000" b="1">
              <a:latin typeface="Tahoma" panose="020B0604030504040204" pitchFamily="34" charset="0"/>
              <a:ea typeface="Tahoma" panose="020B0604030504040204" pitchFamily="34" charset="0"/>
              <a:cs typeface="Tahoma" panose="020B0604030504040204" pitchFamily="34" charset="0"/>
            </a:rPr>
            <a:t>Grant size limit:</a:t>
          </a:r>
          <a:r>
            <a:rPr lang="en-GB" sz="1000">
              <a:latin typeface="Tahoma" panose="020B0604030504040204" pitchFamily="34" charset="0"/>
              <a:ea typeface="Tahoma" panose="020B0604030504040204" pitchFamily="34" charset="0"/>
              <a:cs typeface="Tahoma" panose="020B0604030504040204" pitchFamily="34" charset="0"/>
            </a:rPr>
            <a:t> An applicant organisation cannot apply for more than 50% of the organisation’s annual income. </a:t>
          </a:r>
        </a:p>
      </dgm:t>
    </dgm:pt>
    <dgm:pt modelId="{09F9F880-B71C-4F74-ACE4-A1E53DD5F654}" type="parTrans" cxnId="{AC782D5C-3F94-4F0A-BD3C-000992A4680E}">
      <dgm:prSet/>
      <dgm:spPr/>
      <dgm:t>
        <a:bodyPr/>
        <a:lstStyle/>
        <a:p>
          <a:endParaRPr lang="en-GB"/>
        </a:p>
      </dgm:t>
    </dgm:pt>
    <dgm:pt modelId="{5186AF7C-7C3F-45C8-87E3-1920A8564E38}" type="sibTrans" cxnId="{AC782D5C-3F94-4F0A-BD3C-000992A4680E}">
      <dgm:prSet/>
      <dgm:spPr/>
      <dgm:t>
        <a:bodyPr/>
        <a:lstStyle/>
        <a:p>
          <a:endParaRPr lang="en-GB"/>
        </a:p>
      </dgm:t>
    </dgm:pt>
    <dgm:pt modelId="{3073102F-975D-4938-ACBC-9123A9B8819B}">
      <dgm:prSet phldrT="[Text]" custT="1"/>
      <dgm:spPr/>
      <dgm:t>
        <a:bodyPr/>
        <a:lstStyle/>
        <a:p>
          <a:r>
            <a:rPr lang="en-GB" sz="1000" b="1">
              <a:latin typeface="Tahoma" panose="020B0604030504040204" pitchFamily="34" charset="0"/>
              <a:ea typeface="Tahoma" panose="020B0604030504040204" pitchFamily="34" charset="0"/>
              <a:cs typeface="Tahoma" panose="020B0604030504040204" pitchFamily="34" charset="0"/>
            </a:rPr>
            <a:t>Geographic scope: </a:t>
          </a:r>
          <a:r>
            <a:rPr lang="en-GB" sz="1000">
              <a:latin typeface="Tahoma" panose="020B0604030504040204" pitchFamily="34" charset="0"/>
              <a:ea typeface="Tahoma" panose="020B0604030504040204" pitchFamily="34" charset="0"/>
              <a:cs typeface="Tahoma" panose="020B0604030504040204" pitchFamily="34" charset="0"/>
            </a:rPr>
            <a:t>National, transnational (across 2 or more countries), regional.</a:t>
          </a:r>
        </a:p>
      </dgm:t>
    </dgm:pt>
    <dgm:pt modelId="{A081BC8E-DBC3-4A4B-90A5-8B898F3F5F34}" type="parTrans" cxnId="{BD257305-0EA7-4EEB-9CBE-12984B97D7B7}">
      <dgm:prSet/>
      <dgm:spPr/>
      <dgm:t>
        <a:bodyPr/>
        <a:lstStyle/>
        <a:p>
          <a:endParaRPr lang="en-GB"/>
        </a:p>
      </dgm:t>
    </dgm:pt>
    <dgm:pt modelId="{7FE3AE7E-E047-4E71-91A3-4D2C0094783F}" type="sibTrans" cxnId="{BD257305-0EA7-4EEB-9CBE-12984B97D7B7}">
      <dgm:prSet/>
      <dgm:spPr/>
      <dgm:t>
        <a:bodyPr/>
        <a:lstStyle/>
        <a:p>
          <a:endParaRPr lang="en-GB"/>
        </a:p>
      </dgm:t>
    </dgm:pt>
    <dgm:pt modelId="{8380EB99-F481-4CD3-8520-5243A8E96AAD}">
      <dgm:prSet phldrT="[Text]" custT="1"/>
      <dgm:spPr/>
      <dgm:t>
        <a:bodyPr/>
        <a:lstStyle/>
        <a:p>
          <a:r>
            <a:rPr lang="en-GB" sz="1000" b="1">
              <a:latin typeface="Tahoma" panose="020B0604030504040204" pitchFamily="34" charset="0"/>
              <a:ea typeface="Tahoma" panose="020B0604030504040204" pitchFamily="34" charset="0"/>
              <a:cs typeface="Tahoma" panose="020B0604030504040204" pitchFamily="34" charset="0"/>
            </a:rPr>
            <a:t>Grant size limit: </a:t>
          </a:r>
          <a:r>
            <a:rPr lang="en-GB" sz="1000">
              <a:latin typeface="Tahoma" panose="020B0604030504040204" pitchFamily="34" charset="0"/>
              <a:ea typeface="Tahoma" panose="020B0604030504040204" pitchFamily="34" charset="0"/>
              <a:cs typeface="Tahoma" panose="020B0604030504040204" pitchFamily="34" charset="0"/>
            </a:rPr>
            <a:t>An applicant organisation cannot apply for more than 50% of the organisation’s/ combined network or consortium’s annual income</a:t>
          </a:r>
          <a:r>
            <a:rPr lang="en-GB" sz="1000"/>
            <a:t>.</a:t>
          </a:r>
        </a:p>
      </dgm:t>
    </dgm:pt>
    <dgm:pt modelId="{A6EB931D-0F47-4579-A612-B469E2FDB03A}" type="parTrans" cxnId="{248D6757-EC7B-4EB3-A988-D305EBCA7EA1}">
      <dgm:prSet/>
      <dgm:spPr/>
      <dgm:t>
        <a:bodyPr/>
        <a:lstStyle/>
        <a:p>
          <a:endParaRPr lang="en-GB"/>
        </a:p>
      </dgm:t>
    </dgm:pt>
    <dgm:pt modelId="{866BBE0A-ACF1-4BD9-A33C-48BF4E58B9B8}" type="sibTrans" cxnId="{248D6757-EC7B-4EB3-A988-D305EBCA7EA1}">
      <dgm:prSet/>
      <dgm:spPr/>
      <dgm:t>
        <a:bodyPr/>
        <a:lstStyle/>
        <a:p>
          <a:endParaRPr lang="en-GB"/>
        </a:p>
      </dgm:t>
    </dgm:pt>
    <dgm:pt modelId="{C35960B0-177A-47C4-994C-80FB32EDE56A}">
      <dgm:prSet phldrT="[Text]" custT="1"/>
      <dgm:spPr/>
      <dgm:t>
        <a:bodyPr/>
        <a:lstStyle/>
        <a:p>
          <a:r>
            <a:rPr lang="en-GB" sz="1000" b="1">
              <a:latin typeface="Tahoma" panose="020B0604030504040204" pitchFamily="34" charset="0"/>
              <a:ea typeface="Tahoma" panose="020B0604030504040204" pitchFamily="34" charset="0"/>
              <a:cs typeface="Tahoma" panose="020B0604030504040204" pitchFamily="34" charset="0"/>
            </a:rPr>
            <a:t>Geographic scope: </a:t>
          </a:r>
          <a:r>
            <a:rPr lang="en-GB" sz="1000">
              <a:latin typeface="Tahoma" panose="020B0604030504040204" pitchFamily="34" charset="0"/>
              <a:ea typeface="Tahoma" panose="020B0604030504040204" pitchFamily="34" charset="0"/>
              <a:cs typeface="Tahoma" panose="020B0604030504040204" pitchFamily="34" charset="0"/>
            </a:rPr>
            <a:t>National, transnational (across 2 or more countries), regional, international.  </a:t>
          </a:r>
        </a:p>
      </dgm:t>
    </dgm:pt>
    <dgm:pt modelId="{2EDBFEEB-C082-40B3-BE81-764A4A79848E}" type="parTrans" cxnId="{AB309513-FB2F-4460-ADA0-5D32A5D67DEF}">
      <dgm:prSet/>
      <dgm:spPr/>
      <dgm:t>
        <a:bodyPr/>
        <a:lstStyle/>
        <a:p>
          <a:endParaRPr lang="en-GB"/>
        </a:p>
      </dgm:t>
    </dgm:pt>
    <dgm:pt modelId="{2417664F-0D18-42DF-B867-16911E308673}" type="sibTrans" cxnId="{AB309513-FB2F-4460-ADA0-5D32A5D67DEF}">
      <dgm:prSet/>
      <dgm:spPr/>
      <dgm:t>
        <a:bodyPr/>
        <a:lstStyle/>
        <a:p>
          <a:endParaRPr lang="en-GB"/>
        </a:p>
      </dgm:t>
    </dgm:pt>
    <dgm:pt modelId="{4DB46BE7-EA77-4DD5-9F78-966E81FA5F1B}">
      <dgm:prSet phldrT="[Text]" custT="1"/>
      <dgm:spPr/>
      <dgm:t>
        <a:bodyPr/>
        <a:lstStyle/>
        <a:p>
          <a:endParaRPr lang="en-GB" sz="1000"/>
        </a:p>
      </dgm:t>
    </dgm:pt>
    <dgm:pt modelId="{216EF54A-A485-4A2D-8E39-32F13243FD9C}" type="parTrans" cxnId="{635CE6DB-B027-447A-B4C4-26223BA3F146}">
      <dgm:prSet/>
      <dgm:spPr/>
      <dgm:t>
        <a:bodyPr/>
        <a:lstStyle/>
        <a:p>
          <a:endParaRPr lang="en-GB"/>
        </a:p>
      </dgm:t>
    </dgm:pt>
    <dgm:pt modelId="{77655B57-8E17-400B-A81D-3C4F15CFE667}" type="sibTrans" cxnId="{635CE6DB-B027-447A-B4C4-26223BA3F146}">
      <dgm:prSet/>
      <dgm:spPr/>
      <dgm:t>
        <a:bodyPr/>
        <a:lstStyle/>
        <a:p>
          <a:endParaRPr lang="en-GB"/>
        </a:p>
      </dgm:t>
    </dgm:pt>
    <dgm:pt modelId="{79A2F067-9ED7-4DA6-8CA1-DB1CF9144917}">
      <dgm:prSet phldrT="[Text]" custT="1"/>
      <dgm:spPr/>
      <dgm:t>
        <a:bodyPr/>
        <a:lstStyle/>
        <a:p>
          <a:r>
            <a:rPr lang="en-GB" sz="1000" b="1">
              <a:latin typeface="Tahoma" panose="020B0604030504040204" pitchFamily="34" charset="0"/>
              <a:ea typeface="Tahoma" panose="020B0604030504040204" pitchFamily="34" charset="0"/>
              <a:cs typeface="Tahoma" panose="020B0604030504040204" pitchFamily="34" charset="0"/>
            </a:rPr>
            <a:t>Grant size limit: </a:t>
          </a:r>
          <a:r>
            <a:rPr lang="en-GB" sz="1000">
              <a:latin typeface="Tahoma" panose="020B0604030504040204" pitchFamily="34" charset="0"/>
              <a:ea typeface="Tahoma" panose="020B0604030504040204" pitchFamily="34" charset="0"/>
              <a:cs typeface="Tahoma" panose="020B0604030504040204" pitchFamily="34" charset="0"/>
            </a:rPr>
            <a:t>An applicant organisation cannot apply for more than 50% of the organisation’s or combined network/consortium’s annual income in the past financial year.</a:t>
          </a:r>
        </a:p>
      </dgm:t>
    </dgm:pt>
    <dgm:pt modelId="{84ABD8A0-472B-4B84-98AB-22452C1F9AED}" type="parTrans" cxnId="{B08757D1-2309-4464-B45C-F00C0D4A4B68}">
      <dgm:prSet/>
      <dgm:spPr/>
      <dgm:t>
        <a:bodyPr/>
        <a:lstStyle/>
        <a:p>
          <a:endParaRPr lang="en-US"/>
        </a:p>
      </dgm:t>
    </dgm:pt>
    <dgm:pt modelId="{C619E386-ACF1-4997-8F69-6AEFD1986B7F}" type="sibTrans" cxnId="{B08757D1-2309-4464-B45C-F00C0D4A4B68}">
      <dgm:prSet/>
      <dgm:spPr/>
      <dgm:t>
        <a:bodyPr/>
        <a:lstStyle/>
        <a:p>
          <a:endParaRPr lang="en-US"/>
        </a:p>
      </dgm:t>
    </dgm:pt>
    <dgm:pt modelId="{FFF3EB10-65EF-4B87-8C4A-C34BC0A26C64}" type="pres">
      <dgm:prSet presAssocID="{8D97FB36-6FE9-46D6-90D0-F274144203C6}" presName="Name0" presStyleCnt="0">
        <dgm:presLayoutVars>
          <dgm:dir/>
          <dgm:animLvl val="lvl"/>
          <dgm:resizeHandles val="exact"/>
        </dgm:presLayoutVars>
      </dgm:prSet>
      <dgm:spPr/>
      <dgm:t>
        <a:bodyPr/>
        <a:lstStyle/>
        <a:p>
          <a:endParaRPr lang="en-GB"/>
        </a:p>
      </dgm:t>
    </dgm:pt>
    <dgm:pt modelId="{8E0A5DE0-2634-4114-8D1D-25B0190E1A01}" type="pres">
      <dgm:prSet presAssocID="{115F7996-4AB5-431F-B6CD-19872AD8570F}" presName="composite" presStyleCnt="0"/>
      <dgm:spPr/>
    </dgm:pt>
    <dgm:pt modelId="{C29F61DC-14E4-4AC9-87AC-7BB811724AAE}" type="pres">
      <dgm:prSet presAssocID="{115F7996-4AB5-431F-B6CD-19872AD8570F}" presName="parTx" presStyleLbl="alignNode1" presStyleIdx="0" presStyleCnt="3">
        <dgm:presLayoutVars>
          <dgm:chMax val="0"/>
          <dgm:chPref val="0"/>
          <dgm:bulletEnabled val="1"/>
        </dgm:presLayoutVars>
      </dgm:prSet>
      <dgm:spPr/>
      <dgm:t>
        <a:bodyPr/>
        <a:lstStyle/>
        <a:p>
          <a:endParaRPr lang="en-GB"/>
        </a:p>
      </dgm:t>
    </dgm:pt>
    <dgm:pt modelId="{DB12BC03-53A9-46AD-83A6-C3FE096E6548}" type="pres">
      <dgm:prSet presAssocID="{115F7996-4AB5-431F-B6CD-19872AD8570F}" presName="desTx" presStyleLbl="alignAccFollowNode1" presStyleIdx="0" presStyleCnt="3">
        <dgm:presLayoutVars>
          <dgm:bulletEnabled val="1"/>
        </dgm:presLayoutVars>
      </dgm:prSet>
      <dgm:spPr/>
      <dgm:t>
        <a:bodyPr/>
        <a:lstStyle/>
        <a:p>
          <a:endParaRPr lang="en-GB"/>
        </a:p>
      </dgm:t>
    </dgm:pt>
    <dgm:pt modelId="{CF5B1B32-1A81-4612-A705-439ED35502EB}" type="pres">
      <dgm:prSet presAssocID="{C395FFDB-606F-4D5F-A95C-3EA932270404}" presName="space" presStyleCnt="0"/>
      <dgm:spPr/>
    </dgm:pt>
    <dgm:pt modelId="{331C20F7-000A-4A76-A917-D1B1BC77E9CD}" type="pres">
      <dgm:prSet presAssocID="{BBA1A56F-192A-48AD-86FD-EA5599A85994}" presName="composite" presStyleCnt="0"/>
      <dgm:spPr/>
    </dgm:pt>
    <dgm:pt modelId="{A67FD4BA-594E-4448-A319-4D03F1D9A13C}" type="pres">
      <dgm:prSet presAssocID="{BBA1A56F-192A-48AD-86FD-EA5599A85994}" presName="parTx" presStyleLbl="alignNode1" presStyleIdx="1" presStyleCnt="3">
        <dgm:presLayoutVars>
          <dgm:chMax val="0"/>
          <dgm:chPref val="0"/>
          <dgm:bulletEnabled val="1"/>
        </dgm:presLayoutVars>
      </dgm:prSet>
      <dgm:spPr/>
      <dgm:t>
        <a:bodyPr/>
        <a:lstStyle/>
        <a:p>
          <a:endParaRPr lang="en-GB"/>
        </a:p>
      </dgm:t>
    </dgm:pt>
    <dgm:pt modelId="{0FEC00DC-791D-4415-A79B-A68D3637A522}" type="pres">
      <dgm:prSet presAssocID="{BBA1A56F-192A-48AD-86FD-EA5599A85994}" presName="desTx" presStyleLbl="alignAccFollowNode1" presStyleIdx="1" presStyleCnt="3">
        <dgm:presLayoutVars>
          <dgm:bulletEnabled val="1"/>
        </dgm:presLayoutVars>
      </dgm:prSet>
      <dgm:spPr/>
      <dgm:t>
        <a:bodyPr/>
        <a:lstStyle/>
        <a:p>
          <a:endParaRPr lang="en-GB"/>
        </a:p>
      </dgm:t>
    </dgm:pt>
    <dgm:pt modelId="{758DBFCB-3FD6-445B-9465-309D276770E1}" type="pres">
      <dgm:prSet presAssocID="{0041C04A-769E-4EF3-9935-615C0C73E63A}" presName="space" presStyleCnt="0"/>
      <dgm:spPr/>
    </dgm:pt>
    <dgm:pt modelId="{E46EC09F-0587-4E5F-8DA4-36D9958B0B73}" type="pres">
      <dgm:prSet presAssocID="{9707CA6A-0DEC-48B7-A54E-2A8FF355E2C5}" presName="composite" presStyleCnt="0"/>
      <dgm:spPr/>
    </dgm:pt>
    <dgm:pt modelId="{022FD9BC-0069-473F-A08D-F627F9EDDB81}" type="pres">
      <dgm:prSet presAssocID="{9707CA6A-0DEC-48B7-A54E-2A8FF355E2C5}" presName="parTx" presStyleLbl="alignNode1" presStyleIdx="2" presStyleCnt="3">
        <dgm:presLayoutVars>
          <dgm:chMax val="0"/>
          <dgm:chPref val="0"/>
          <dgm:bulletEnabled val="1"/>
        </dgm:presLayoutVars>
      </dgm:prSet>
      <dgm:spPr/>
      <dgm:t>
        <a:bodyPr/>
        <a:lstStyle/>
        <a:p>
          <a:endParaRPr lang="en-GB"/>
        </a:p>
      </dgm:t>
    </dgm:pt>
    <dgm:pt modelId="{2A76CCA0-F4E0-4B1C-9AAB-869AB7331B6F}" type="pres">
      <dgm:prSet presAssocID="{9707CA6A-0DEC-48B7-A54E-2A8FF355E2C5}" presName="desTx" presStyleLbl="alignAccFollowNode1" presStyleIdx="2" presStyleCnt="3">
        <dgm:presLayoutVars>
          <dgm:bulletEnabled val="1"/>
        </dgm:presLayoutVars>
      </dgm:prSet>
      <dgm:spPr/>
      <dgm:t>
        <a:bodyPr/>
        <a:lstStyle/>
        <a:p>
          <a:endParaRPr lang="en-GB"/>
        </a:p>
      </dgm:t>
    </dgm:pt>
  </dgm:ptLst>
  <dgm:cxnLst>
    <dgm:cxn modelId="{DC9BF95B-10EA-484E-A8FA-4624E84B4D6B}" type="presOf" srcId="{8380EB99-F481-4CD3-8520-5243A8E96AAD}" destId="{0FEC00DC-791D-4415-A79B-A68D3637A522}" srcOrd="0" destOrd="2" presId="urn:microsoft.com/office/officeart/2005/8/layout/hList1"/>
    <dgm:cxn modelId="{6F432E70-C3E3-41C5-9704-60901AC1F2D7}" type="presOf" srcId="{4DB46BE7-EA77-4DD5-9F78-966E81FA5F1B}" destId="{0FEC00DC-791D-4415-A79B-A68D3637A522}" srcOrd="0" destOrd="3" presId="urn:microsoft.com/office/officeart/2005/8/layout/hList1"/>
    <dgm:cxn modelId="{BD257305-0EA7-4EEB-9CBE-12984B97D7B7}" srcId="{BBA1A56F-192A-48AD-86FD-EA5599A85994}" destId="{3073102F-975D-4938-ACBC-9123A9B8819B}" srcOrd="1" destOrd="0" parTransId="{A081BC8E-DBC3-4A4B-90A5-8B898F3F5F34}" sibTransId="{7FE3AE7E-E047-4E71-91A3-4D2C0094783F}"/>
    <dgm:cxn modelId="{5D14A487-4F10-4A2B-BC72-541ED0EB824C}" srcId="{8D97FB36-6FE9-46D6-90D0-F274144203C6}" destId="{9707CA6A-0DEC-48B7-A54E-2A8FF355E2C5}" srcOrd="2" destOrd="0" parTransId="{6ED795DF-9294-4676-B727-ADA545590A25}" sibTransId="{FEDC1393-5F87-457A-9EF9-1CC23CBF4193}"/>
    <dgm:cxn modelId="{B7C526F1-1335-481D-BD8A-CC2208BDF908}" type="presOf" srcId="{115F7996-4AB5-431F-B6CD-19872AD8570F}" destId="{C29F61DC-14E4-4AC9-87AC-7BB811724AAE}" srcOrd="0" destOrd="0" presId="urn:microsoft.com/office/officeart/2005/8/layout/hList1"/>
    <dgm:cxn modelId="{EFA49C71-A2C9-421D-A9C1-7CA32C4DF8D1}" type="presOf" srcId="{79A2F067-9ED7-4DA6-8CA1-DB1CF9144917}" destId="{2A76CCA0-F4E0-4B1C-9AAB-869AB7331B6F}" srcOrd="0" destOrd="2" presId="urn:microsoft.com/office/officeart/2005/8/layout/hList1"/>
    <dgm:cxn modelId="{AB309513-FB2F-4460-ADA0-5D32A5D67DEF}" srcId="{9707CA6A-0DEC-48B7-A54E-2A8FF355E2C5}" destId="{C35960B0-177A-47C4-994C-80FB32EDE56A}" srcOrd="1" destOrd="0" parTransId="{2EDBFEEB-C082-40B3-BE81-764A4A79848E}" sibTransId="{2417664F-0D18-42DF-B867-16911E308673}"/>
    <dgm:cxn modelId="{AC782D5C-3F94-4F0A-BD3C-000992A4680E}" srcId="{115F7996-4AB5-431F-B6CD-19872AD8570F}" destId="{D20845DA-7980-4842-ADB6-7898DA987754}" srcOrd="2" destOrd="0" parTransId="{09F9F880-B71C-4F74-ACE4-A1E53DD5F654}" sibTransId="{5186AF7C-7C3F-45C8-87E3-1920A8564E38}"/>
    <dgm:cxn modelId="{E287EDFB-D854-420C-93C0-463F9848BBC3}" type="presOf" srcId="{8D97FB36-6FE9-46D6-90D0-F274144203C6}" destId="{FFF3EB10-65EF-4B87-8C4A-C34BC0A26C64}" srcOrd="0" destOrd="0" presId="urn:microsoft.com/office/officeart/2005/8/layout/hList1"/>
    <dgm:cxn modelId="{376EA704-E054-46F4-B4C4-E45A9A553368}" type="presOf" srcId="{3073102F-975D-4938-ACBC-9123A9B8819B}" destId="{0FEC00DC-791D-4415-A79B-A68D3637A522}" srcOrd="0" destOrd="1" presId="urn:microsoft.com/office/officeart/2005/8/layout/hList1"/>
    <dgm:cxn modelId="{F704FDC9-7575-403E-B8F5-7D1CDB492FDD}" type="presOf" srcId="{C35960B0-177A-47C4-994C-80FB32EDE56A}" destId="{2A76CCA0-F4E0-4B1C-9AAB-869AB7331B6F}" srcOrd="0" destOrd="1" presId="urn:microsoft.com/office/officeart/2005/8/layout/hList1"/>
    <dgm:cxn modelId="{3EE43F1B-8EBD-4118-9973-3C9A4B6C97C8}" type="presOf" srcId="{9707CA6A-0DEC-48B7-A54E-2A8FF355E2C5}" destId="{022FD9BC-0069-473F-A08D-F627F9EDDB81}" srcOrd="0" destOrd="0" presId="urn:microsoft.com/office/officeart/2005/8/layout/hList1"/>
    <dgm:cxn modelId="{FC668C8F-6C2E-4F16-8CD4-5C683F1AD47E}" type="presOf" srcId="{D20845DA-7980-4842-ADB6-7898DA987754}" destId="{DB12BC03-53A9-46AD-83A6-C3FE096E6548}" srcOrd="0" destOrd="2" presId="urn:microsoft.com/office/officeart/2005/8/layout/hList1"/>
    <dgm:cxn modelId="{FF0FDF7A-3EEE-4841-A114-4FA360FD1520}" srcId="{BBA1A56F-192A-48AD-86FD-EA5599A85994}" destId="{A629E855-8D1A-4239-ABBD-4772210D223C}" srcOrd="0" destOrd="0" parTransId="{0CE23B03-A1A2-4233-9CBC-EF7F1D0A465E}" sibTransId="{8C4637B1-300D-41B2-BFD4-44886F254D8A}"/>
    <dgm:cxn modelId="{4636AC69-7C10-490A-AD50-E64A87FC3054}" type="presOf" srcId="{6FCE3464-E6C2-487C-AB10-C3589BDBC4C7}" destId="{DB12BC03-53A9-46AD-83A6-C3FE096E6548}" srcOrd="0" destOrd="0" presId="urn:microsoft.com/office/officeart/2005/8/layout/hList1"/>
    <dgm:cxn modelId="{CC5DD8FC-C814-45CC-A0FB-5FF2617B1513}" srcId="{8D97FB36-6FE9-46D6-90D0-F274144203C6}" destId="{115F7996-4AB5-431F-B6CD-19872AD8570F}" srcOrd="0" destOrd="0" parTransId="{045696EA-0F65-4201-B073-8837E218CB62}" sibTransId="{C395FFDB-606F-4D5F-A95C-3EA932270404}"/>
    <dgm:cxn modelId="{635CE6DB-B027-447A-B4C4-26223BA3F146}" srcId="{BBA1A56F-192A-48AD-86FD-EA5599A85994}" destId="{4DB46BE7-EA77-4DD5-9F78-966E81FA5F1B}" srcOrd="3" destOrd="0" parTransId="{216EF54A-A485-4A2D-8E39-32F13243FD9C}" sibTransId="{77655B57-8E17-400B-A81D-3C4F15CFE667}"/>
    <dgm:cxn modelId="{903A3FA7-D5BC-49C1-B2D0-37078FC44EF3}" type="presOf" srcId="{A629E855-8D1A-4239-ABBD-4772210D223C}" destId="{0FEC00DC-791D-4415-A79B-A68D3637A522}" srcOrd="0" destOrd="0" presId="urn:microsoft.com/office/officeart/2005/8/layout/hList1"/>
    <dgm:cxn modelId="{6947F858-E94E-4CB7-B8F2-CEE5C915E828}" type="presOf" srcId="{27B07E9E-E6AF-4005-9C56-B41FBC8F0F4A}" destId="{2A76CCA0-F4E0-4B1C-9AAB-869AB7331B6F}" srcOrd="0" destOrd="0" presId="urn:microsoft.com/office/officeart/2005/8/layout/hList1"/>
    <dgm:cxn modelId="{F72592D4-7FDC-468A-AE16-F2FECCE4D053}" srcId="{8D97FB36-6FE9-46D6-90D0-F274144203C6}" destId="{BBA1A56F-192A-48AD-86FD-EA5599A85994}" srcOrd="1" destOrd="0" parTransId="{22208B56-F740-485B-95EA-776A5C0942C6}" sibTransId="{0041C04A-769E-4EF3-9935-615C0C73E63A}"/>
    <dgm:cxn modelId="{B08757D1-2309-4464-B45C-F00C0D4A4B68}" srcId="{9707CA6A-0DEC-48B7-A54E-2A8FF355E2C5}" destId="{79A2F067-9ED7-4DA6-8CA1-DB1CF9144917}" srcOrd="2" destOrd="0" parTransId="{84ABD8A0-472B-4B84-98AB-22452C1F9AED}" sibTransId="{C619E386-ACF1-4997-8F69-6AEFD1986B7F}"/>
    <dgm:cxn modelId="{248D6757-EC7B-4EB3-A988-D305EBCA7EA1}" srcId="{BBA1A56F-192A-48AD-86FD-EA5599A85994}" destId="{8380EB99-F481-4CD3-8520-5243A8E96AAD}" srcOrd="2" destOrd="0" parTransId="{A6EB931D-0F47-4579-A612-B469E2FDB03A}" sibTransId="{866BBE0A-ACF1-4BD9-A33C-48BF4E58B9B8}"/>
    <dgm:cxn modelId="{B1C46EC2-CF11-4E92-BEDF-1260EB5747D8}" srcId="{115F7996-4AB5-431F-B6CD-19872AD8570F}" destId="{6FCE3464-E6C2-487C-AB10-C3589BDBC4C7}" srcOrd="0" destOrd="0" parTransId="{DF533B1A-BF90-4166-9840-95C8C6C9EE36}" sibTransId="{CEE6B01A-88D3-459E-8C45-24D6E1F4CDB5}"/>
    <dgm:cxn modelId="{C0642A35-6EA7-491C-B4EC-82B6823DDE2F}" type="presOf" srcId="{92850C79-9E1C-4DA4-BAAC-815E0718B083}" destId="{DB12BC03-53A9-46AD-83A6-C3FE096E6548}" srcOrd="0" destOrd="1" presId="urn:microsoft.com/office/officeart/2005/8/layout/hList1"/>
    <dgm:cxn modelId="{57B214C1-C726-4BCB-94A2-0BB4261EBFF3}" srcId="{9707CA6A-0DEC-48B7-A54E-2A8FF355E2C5}" destId="{27B07E9E-E6AF-4005-9C56-B41FBC8F0F4A}" srcOrd="0" destOrd="0" parTransId="{4D1DBBC7-4AD4-43AA-B0F9-9275B1AE6783}" sibTransId="{9C483AFF-7A28-454A-B6D1-200E307C59CE}"/>
    <dgm:cxn modelId="{BA9FD2C4-6FBC-4E86-93DD-78F4F209832E}" srcId="{115F7996-4AB5-431F-B6CD-19872AD8570F}" destId="{92850C79-9E1C-4DA4-BAAC-815E0718B083}" srcOrd="1" destOrd="0" parTransId="{9A2058A4-3653-4A8B-97D9-8C609B3CFFAD}" sibTransId="{440F1EBC-6BD1-4A8B-8A02-F2F1D90C8372}"/>
    <dgm:cxn modelId="{28EEED0D-44DE-4514-8B64-DCB3A8C49959}" type="presOf" srcId="{BBA1A56F-192A-48AD-86FD-EA5599A85994}" destId="{A67FD4BA-594E-4448-A319-4D03F1D9A13C}" srcOrd="0" destOrd="0" presId="urn:microsoft.com/office/officeart/2005/8/layout/hList1"/>
    <dgm:cxn modelId="{3832C37C-00BE-44FE-B811-80189859D76A}" type="presParOf" srcId="{FFF3EB10-65EF-4B87-8C4A-C34BC0A26C64}" destId="{8E0A5DE0-2634-4114-8D1D-25B0190E1A01}" srcOrd="0" destOrd="0" presId="urn:microsoft.com/office/officeart/2005/8/layout/hList1"/>
    <dgm:cxn modelId="{2B743806-3698-4492-A7AB-37E61C5164D4}" type="presParOf" srcId="{8E0A5DE0-2634-4114-8D1D-25B0190E1A01}" destId="{C29F61DC-14E4-4AC9-87AC-7BB811724AAE}" srcOrd="0" destOrd="0" presId="urn:microsoft.com/office/officeart/2005/8/layout/hList1"/>
    <dgm:cxn modelId="{97302440-0371-4B78-844C-D69E2EC40365}" type="presParOf" srcId="{8E0A5DE0-2634-4114-8D1D-25B0190E1A01}" destId="{DB12BC03-53A9-46AD-83A6-C3FE096E6548}" srcOrd="1" destOrd="0" presId="urn:microsoft.com/office/officeart/2005/8/layout/hList1"/>
    <dgm:cxn modelId="{1667DB1E-5C50-4547-9AB9-CEF7B8FF92FA}" type="presParOf" srcId="{FFF3EB10-65EF-4B87-8C4A-C34BC0A26C64}" destId="{CF5B1B32-1A81-4612-A705-439ED35502EB}" srcOrd="1" destOrd="0" presId="urn:microsoft.com/office/officeart/2005/8/layout/hList1"/>
    <dgm:cxn modelId="{88CB6EA3-B058-4746-AC23-9E141E93D63D}" type="presParOf" srcId="{FFF3EB10-65EF-4B87-8C4A-C34BC0A26C64}" destId="{331C20F7-000A-4A76-A917-D1B1BC77E9CD}" srcOrd="2" destOrd="0" presId="urn:microsoft.com/office/officeart/2005/8/layout/hList1"/>
    <dgm:cxn modelId="{8211B1D8-AB55-4079-A6E3-05481A9155A1}" type="presParOf" srcId="{331C20F7-000A-4A76-A917-D1B1BC77E9CD}" destId="{A67FD4BA-594E-4448-A319-4D03F1D9A13C}" srcOrd="0" destOrd="0" presId="urn:microsoft.com/office/officeart/2005/8/layout/hList1"/>
    <dgm:cxn modelId="{E09F940F-0820-485C-BBFD-4E36833635D0}" type="presParOf" srcId="{331C20F7-000A-4A76-A917-D1B1BC77E9CD}" destId="{0FEC00DC-791D-4415-A79B-A68D3637A522}" srcOrd="1" destOrd="0" presId="urn:microsoft.com/office/officeart/2005/8/layout/hList1"/>
    <dgm:cxn modelId="{FC32AF45-0050-49AA-BC42-5EC1F92E3588}" type="presParOf" srcId="{FFF3EB10-65EF-4B87-8C4A-C34BC0A26C64}" destId="{758DBFCB-3FD6-445B-9465-309D276770E1}" srcOrd="3" destOrd="0" presId="urn:microsoft.com/office/officeart/2005/8/layout/hList1"/>
    <dgm:cxn modelId="{65165514-E65B-47A9-BA80-F450E495DC2C}" type="presParOf" srcId="{FFF3EB10-65EF-4B87-8C4A-C34BC0A26C64}" destId="{E46EC09F-0587-4E5F-8DA4-36D9958B0B73}" srcOrd="4" destOrd="0" presId="urn:microsoft.com/office/officeart/2005/8/layout/hList1"/>
    <dgm:cxn modelId="{A2E09A5C-9764-4638-B846-F3A393421976}" type="presParOf" srcId="{E46EC09F-0587-4E5F-8DA4-36D9958B0B73}" destId="{022FD9BC-0069-473F-A08D-F627F9EDDB81}" srcOrd="0" destOrd="0" presId="urn:microsoft.com/office/officeart/2005/8/layout/hList1"/>
    <dgm:cxn modelId="{AD31D798-98B8-41D9-ADC8-D1B0B3CADE17}" type="presParOf" srcId="{E46EC09F-0587-4E5F-8DA4-36D9958B0B73}" destId="{2A76CCA0-F4E0-4B1C-9AAB-869AB7331B6F}"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9F61DC-14E4-4AC9-87AC-7BB811724AAE}">
      <dsp:nvSpPr>
        <dsp:cNvPr id="0" name=""/>
        <dsp:cNvSpPr/>
      </dsp:nvSpPr>
      <dsp:spPr>
        <a:xfrm>
          <a:off x="1647" y="51653"/>
          <a:ext cx="1605855" cy="64234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GB" sz="1400" kern="1200">
              <a:latin typeface="Tahoma" panose="020B0604030504040204" pitchFamily="34" charset="0"/>
              <a:ea typeface="Tahoma" panose="020B0604030504040204" pitchFamily="34" charset="0"/>
              <a:cs typeface="Tahoma" panose="020B0604030504040204" pitchFamily="34" charset="0"/>
            </a:rPr>
            <a:t>Yalla grants</a:t>
          </a:r>
        </a:p>
      </dsp:txBody>
      <dsp:txXfrm>
        <a:off x="1647" y="51653"/>
        <a:ext cx="1605855" cy="642342"/>
      </dsp:txXfrm>
    </dsp:sp>
    <dsp:sp modelId="{DB12BC03-53A9-46AD-83A6-C3FE096E6548}">
      <dsp:nvSpPr>
        <dsp:cNvPr id="0" name=""/>
        <dsp:cNvSpPr/>
      </dsp:nvSpPr>
      <dsp:spPr>
        <a:xfrm>
          <a:off x="1647" y="693996"/>
          <a:ext cx="1605855" cy="285480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b="1" kern="1200">
              <a:latin typeface="Tahoma" panose="020B0604030504040204" pitchFamily="34" charset="0"/>
              <a:ea typeface="Tahoma" panose="020B0604030504040204" pitchFamily="34" charset="0"/>
              <a:cs typeface="Tahoma" panose="020B0604030504040204" pitchFamily="34" charset="0"/>
            </a:rPr>
            <a:t>Size: </a:t>
          </a:r>
          <a:r>
            <a:rPr lang="en-GB" sz="1000" kern="1200">
              <a:latin typeface="Tahoma" panose="020B0604030504040204" pitchFamily="34" charset="0"/>
              <a:ea typeface="Tahoma" panose="020B0604030504040204" pitchFamily="34" charset="0"/>
              <a:cs typeface="Tahoma" panose="020B0604030504040204" pitchFamily="34" charset="0"/>
            </a:rPr>
            <a:t>US$20,000 to US$ 50,000 a year for up to 2 years</a:t>
          </a:r>
        </a:p>
        <a:p>
          <a:pPr marL="57150" lvl="1" indent="-57150" algn="l" defTabSz="444500">
            <a:lnSpc>
              <a:spcPct val="90000"/>
            </a:lnSpc>
            <a:spcBef>
              <a:spcPct val="0"/>
            </a:spcBef>
            <a:spcAft>
              <a:spcPct val="15000"/>
            </a:spcAft>
            <a:buChar char="••"/>
          </a:pPr>
          <a:r>
            <a:rPr lang="en-GB" sz="1000" kern="1200">
              <a:latin typeface="Tahoma" panose="020B0604030504040204" pitchFamily="34" charset="0"/>
              <a:ea typeface="Tahoma" panose="020B0604030504040204" pitchFamily="34" charset="0"/>
              <a:cs typeface="Tahoma" panose="020B0604030504040204" pitchFamily="34" charset="0"/>
            </a:rPr>
            <a:t> </a:t>
          </a:r>
          <a:r>
            <a:rPr lang="en-GB" sz="1000" b="1" kern="1200">
              <a:latin typeface="Tahoma" panose="020B0604030504040204" pitchFamily="34" charset="0"/>
              <a:ea typeface="Tahoma" panose="020B0604030504040204" pitchFamily="34" charset="0"/>
              <a:cs typeface="Tahoma" panose="020B0604030504040204" pitchFamily="34" charset="0"/>
            </a:rPr>
            <a:t>Geographic scope:</a:t>
          </a:r>
          <a:r>
            <a:rPr lang="en-GB" sz="1000" kern="1200">
              <a:latin typeface="Tahoma" panose="020B0604030504040204" pitchFamily="34" charset="0"/>
              <a:ea typeface="Tahoma" panose="020B0604030504040204" pitchFamily="34" charset="0"/>
              <a:cs typeface="Tahoma" panose="020B0604030504040204" pitchFamily="34" charset="0"/>
            </a:rPr>
            <a:t> Local and national</a:t>
          </a:r>
        </a:p>
        <a:p>
          <a:pPr marL="57150" lvl="1" indent="-57150" algn="l" defTabSz="444500">
            <a:lnSpc>
              <a:spcPct val="90000"/>
            </a:lnSpc>
            <a:spcBef>
              <a:spcPct val="0"/>
            </a:spcBef>
            <a:spcAft>
              <a:spcPct val="15000"/>
            </a:spcAft>
            <a:buChar char="••"/>
          </a:pPr>
          <a:r>
            <a:rPr lang="en-GB" sz="1000" b="1" kern="1200">
              <a:latin typeface="Tahoma" panose="020B0604030504040204" pitchFamily="34" charset="0"/>
              <a:ea typeface="Tahoma" panose="020B0604030504040204" pitchFamily="34" charset="0"/>
              <a:cs typeface="Tahoma" panose="020B0604030504040204" pitchFamily="34" charset="0"/>
            </a:rPr>
            <a:t>Grant size limit:</a:t>
          </a:r>
          <a:r>
            <a:rPr lang="en-GB" sz="1000" kern="1200">
              <a:latin typeface="Tahoma" panose="020B0604030504040204" pitchFamily="34" charset="0"/>
              <a:ea typeface="Tahoma" panose="020B0604030504040204" pitchFamily="34" charset="0"/>
              <a:cs typeface="Tahoma" panose="020B0604030504040204" pitchFamily="34" charset="0"/>
            </a:rPr>
            <a:t> An applicant organisation cannot apply for more than 50% of the organisation’s annual income. </a:t>
          </a:r>
        </a:p>
      </dsp:txBody>
      <dsp:txXfrm>
        <a:off x="1647" y="693996"/>
        <a:ext cx="1605855" cy="2854800"/>
      </dsp:txXfrm>
    </dsp:sp>
    <dsp:sp modelId="{A67FD4BA-594E-4448-A319-4D03F1D9A13C}">
      <dsp:nvSpPr>
        <dsp:cNvPr id="0" name=""/>
        <dsp:cNvSpPr/>
      </dsp:nvSpPr>
      <dsp:spPr>
        <a:xfrm>
          <a:off x="1832322" y="51653"/>
          <a:ext cx="1605855" cy="64234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GB" sz="1400" kern="1200">
              <a:latin typeface="Tahoma" panose="020B0604030504040204" pitchFamily="34" charset="0"/>
              <a:ea typeface="Tahoma" panose="020B0604030504040204" pitchFamily="34" charset="0"/>
              <a:cs typeface="Tahoma" panose="020B0604030504040204" pitchFamily="34" charset="0"/>
            </a:rPr>
            <a:t>Ananse grants</a:t>
          </a:r>
        </a:p>
      </dsp:txBody>
      <dsp:txXfrm>
        <a:off x="1832322" y="51653"/>
        <a:ext cx="1605855" cy="642342"/>
      </dsp:txXfrm>
    </dsp:sp>
    <dsp:sp modelId="{0FEC00DC-791D-4415-A79B-A68D3637A522}">
      <dsp:nvSpPr>
        <dsp:cNvPr id="0" name=""/>
        <dsp:cNvSpPr/>
      </dsp:nvSpPr>
      <dsp:spPr>
        <a:xfrm>
          <a:off x="1832322" y="693996"/>
          <a:ext cx="1605855" cy="285480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b="1" kern="1200">
              <a:latin typeface="Tahoma" panose="020B0604030504040204" pitchFamily="34" charset="0"/>
              <a:ea typeface="Tahoma" panose="020B0604030504040204" pitchFamily="34" charset="0"/>
              <a:cs typeface="Tahoma" panose="020B0604030504040204" pitchFamily="34" charset="0"/>
            </a:rPr>
            <a:t>Size:</a:t>
          </a:r>
          <a:r>
            <a:rPr lang="en-GB" sz="1000" kern="1200">
              <a:latin typeface="Tahoma" panose="020B0604030504040204" pitchFamily="34" charset="0"/>
              <a:ea typeface="Tahoma" panose="020B0604030504040204" pitchFamily="34" charset="0"/>
              <a:cs typeface="Tahoma" panose="020B0604030504040204" pitchFamily="34" charset="0"/>
            </a:rPr>
            <a:t>US$51,000 to    US$ 199,000 a year for up to 2 years</a:t>
          </a:r>
        </a:p>
        <a:p>
          <a:pPr marL="57150" lvl="1" indent="-57150" algn="l" defTabSz="444500">
            <a:lnSpc>
              <a:spcPct val="90000"/>
            </a:lnSpc>
            <a:spcBef>
              <a:spcPct val="0"/>
            </a:spcBef>
            <a:spcAft>
              <a:spcPct val="15000"/>
            </a:spcAft>
            <a:buChar char="••"/>
          </a:pPr>
          <a:r>
            <a:rPr lang="en-GB" sz="1000" b="1" kern="1200">
              <a:latin typeface="Tahoma" panose="020B0604030504040204" pitchFamily="34" charset="0"/>
              <a:ea typeface="Tahoma" panose="020B0604030504040204" pitchFamily="34" charset="0"/>
              <a:cs typeface="Tahoma" panose="020B0604030504040204" pitchFamily="34" charset="0"/>
            </a:rPr>
            <a:t>Geographic scope: </a:t>
          </a:r>
          <a:r>
            <a:rPr lang="en-GB" sz="1000" kern="1200">
              <a:latin typeface="Tahoma" panose="020B0604030504040204" pitchFamily="34" charset="0"/>
              <a:ea typeface="Tahoma" panose="020B0604030504040204" pitchFamily="34" charset="0"/>
              <a:cs typeface="Tahoma" panose="020B0604030504040204" pitchFamily="34" charset="0"/>
            </a:rPr>
            <a:t>National, transnational (across 2 or more countries), regional.</a:t>
          </a:r>
        </a:p>
        <a:p>
          <a:pPr marL="57150" lvl="1" indent="-57150" algn="l" defTabSz="444500">
            <a:lnSpc>
              <a:spcPct val="90000"/>
            </a:lnSpc>
            <a:spcBef>
              <a:spcPct val="0"/>
            </a:spcBef>
            <a:spcAft>
              <a:spcPct val="15000"/>
            </a:spcAft>
            <a:buChar char="••"/>
          </a:pPr>
          <a:r>
            <a:rPr lang="en-GB" sz="1000" b="1" kern="1200">
              <a:latin typeface="Tahoma" panose="020B0604030504040204" pitchFamily="34" charset="0"/>
              <a:ea typeface="Tahoma" panose="020B0604030504040204" pitchFamily="34" charset="0"/>
              <a:cs typeface="Tahoma" panose="020B0604030504040204" pitchFamily="34" charset="0"/>
            </a:rPr>
            <a:t>Grant size limit: </a:t>
          </a:r>
          <a:r>
            <a:rPr lang="en-GB" sz="1000" kern="1200">
              <a:latin typeface="Tahoma" panose="020B0604030504040204" pitchFamily="34" charset="0"/>
              <a:ea typeface="Tahoma" panose="020B0604030504040204" pitchFamily="34" charset="0"/>
              <a:cs typeface="Tahoma" panose="020B0604030504040204" pitchFamily="34" charset="0"/>
            </a:rPr>
            <a:t>An applicant organisation cannot apply for more than 50% of the organisation’s/ combined network or consortium’s annual income</a:t>
          </a:r>
          <a:r>
            <a:rPr lang="en-GB" sz="1000" kern="1200"/>
            <a:t>.</a:t>
          </a:r>
        </a:p>
        <a:p>
          <a:pPr marL="57150" lvl="1" indent="-57150" algn="l" defTabSz="444500">
            <a:lnSpc>
              <a:spcPct val="90000"/>
            </a:lnSpc>
            <a:spcBef>
              <a:spcPct val="0"/>
            </a:spcBef>
            <a:spcAft>
              <a:spcPct val="15000"/>
            </a:spcAft>
            <a:buChar char="••"/>
          </a:pPr>
          <a:endParaRPr lang="en-GB" sz="1000" kern="1200"/>
        </a:p>
      </dsp:txBody>
      <dsp:txXfrm>
        <a:off x="1832322" y="693996"/>
        <a:ext cx="1605855" cy="2854800"/>
      </dsp:txXfrm>
    </dsp:sp>
    <dsp:sp modelId="{022FD9BC-0069-473F-A08D-F627F9EDDB81}">
      <dsp:nvSpPr>
        <dsp:cNvPr id="0" name=""/>
        <dsp:cNvSpPr/>
      </dsp:nvSpPr>
      <dsp:spPr>
        <a:xfrm>
          <a:off x="3662997" y="51653"/>
          <a:ext cx="1605855" cy="64234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GB" sz="1400" kern="1200">
              <a:latin typeface="Tahoma" panose="020B0604030504040204" pitchFamily="34" charset="0"/>
              <a:ea typeface="Tahoma" panose="020B0604030504040204" pitchFamily="34" charset="0"/>
              <a:cs typeface="Tahoma" panose="020B0604030504040204" pitchFamily="34" charset="0"/>
            </a:rPr>
            <a:t>Pamoja grants</a:t>
          </a:r>
        </a:p>
      </dsp:txBody>
      <dsp:txXfrm>
        <a:off x="3662997" y="51653"/>
        <a:ext cx="1605855" cy="642342"/>
      </dsp:txXfrm>
    </dsp:sp>
    <dsp:sp modelId="{2A76CCA0-F4E0-4B1C-9AAB-869AB7331B6F}">
      <dsp:nvSpPr>
        <dsp:cNvPr id="0" name=""/>
        <dsp:cNvSpPr/>
      </dsp:nvSpPr>
      <dsp:spPr>
        <a:xfrm>
          <a:off x="3662997" y="693996"/>
          <a:ext cx="1605855" cy="285480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b="1" kern="1200">
              <a:latin typeface="Tahoma" panose="020B0604030504040204" pitchFamily="34" charset="0"/>
              <a:ea typeface="Tahoma" panose="020B0604030504040204" pitchFamily="34" charset="0"/>
              <a:cs typeface="Tahoma" panose="020B0604030504040204" pitchFamily="34" charset="0"/>
            </a:rPr>
            <a:t>Size: </a:t>
          </a:r>
          <a:r>
            <a:rPr lang="en-GB" sz="1000" kern="1200">
              <a:latin typeface="Tahoma" panose="020B0604030504040204" pitchFamily="34" charset="0"/>
              <a:ea typeface="Tahoma" panose="020B0604030504040204" pitchFamily="34" charset="0"/>
              <a:cs typeface="Tahoma" panose="020B0604030504040204" pitchFamily="34" charset="0"/>
            </a:rPr>
            <a:t>US$200,000 to US$500,000 a year for up to 2 years</a:t>
          </a:r>
        </a:p>
        <a:p>
          <a:pPr marL="57150" lvl="1" indent="-57150" algn="l" defTabSz="444500">
            <a:lnSpc>
              <a:spcPct val="90000"/>
            </a:lnSpc>
            <a:spcBef>
              <a:spcPct val="0"/>
            </a:spcBef>
            <a:spcAft>
              <a:spcPct val="15000"/>
            </a:spcAft>
            <a:buChar char="••"/>
          </a:pPr>
          <a:r>
            <a:rPr lang="en-GB" sz="1000" b="1" kern="1200">
              <a:latin typeface="Tahoma" panose="020B0604030504040204" pitchFamily="34" charset="0"/>
              <a:ea typeface="Tahoma" panose="020B0604030504040204" pitchFamily="34" charset="0"/>
              <a:cs typeface="Tahoma" panose="020B0604030504040204" pitchFamily="34" charset="0"/>
            </a:rPr>
            <a:t>Geographic scope: </a:t>
          </a:r>
          <a:r>
            <a:rPr lang="en-GB" sz="1000" kern="1200">
              <a:latin typeface="Tahoma" panose="020B0604030504040204" pitchFamily="34" charset="0"/>
              <a:ea typeface="Tahoma" panose="020B0604030504040204" pitchFamily="34" charset="0"/>
              <a:cs typeface="Tahoma" panose="020B0604030504040204" pitchFamily="34" charset="0"/>
            </a:rPr>
            <a:t>National, transnational (across 2 or more countries), regional, international.  </a:t>
          </a:r>
        </a:p>
        <a:p>
          <a:pPr marL="57150" lvl="1" indent="-57150" algn="l" defTabSz="444500">
            <a:lnSpc>
              <a:spcPct val="90000"/>
            </a:lnSpc>
            <a:spcBef>
              <a:spcPct val="0"/>
            </a:spcBef>
            <a:spcAft>
              <a:spcPct val="15000"/>
            </a:spcAft>
            <a:buChar char="••"/>
          </a:pPr>
          <a:r>
            <a:rPr lang="en-GB" sz="1000" b="1" kern="1200">
              <a:latin typeface="Tahoma" panose="020B0604030504040204" pitchFamily="34" charset="0"/>
              <a:ea typeface="Tahoma" panose="020B0604030504040204" pitchFamily="34" charset="0"/>
              <a:cs typeface="Tahoma" panose="020B0604030504040204" pitchFamily="34" charset="0"/>
            </a:rPr>
            <a:t>Grant size limit: </a:t>
          </a:r>
          <a:r>
            <a:rPr lang="en-GB" sz="1000" kern="1200">
              <a:latin typeface="Tahoma" panose="020B0604030504040204" pitchFamily="34" charset="0"/>
              <a:ea typeface="Tahoma" panose="020B0604030504040204" pitchFamily="34" charset="0"/>
              <a:cs typeface="Tahoma" panose="020B0604030504040204" pitchFamily="34" charset="0"/>
            </a:rPr>
            <a:t>An applicant organisation cannot apply for more than 50% of the organisation’s or combined network/consortium’s annual income in the past financial year.</a:t>
          </a:r>
        </a:p>
      </dsp:txBody>
      <dsp:txXfrm>
        <a:off x="3662997" y="693996"/>
        <a:ext cx="1605855" cy="285480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DD9C1C-4B46-4C6B-A753-C967B86604D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8168A-F739-4ABE-916A-208CDD90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chugh.anisha@gmail.com</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Anisha Chugh</dc:creator>
  <cp:lastModifiedBy>Madonna Kendona</cp:lastModifiedBy>
  <cp:revision>2</cp:revision>
  <cp:lastPrinted>2017-01-16T11:35:00Z</cp:lastPrinted>
  <dcterms:created xsi:type="dcterms:W3CDTF">2018-06-18T17:08:00Z</dcterms:created>
  <dcterms:modified xsi:type="dcterms:W3CDTF">2018-06-18T17:08:00Z</dcterms:modified>
</cp:coreProperties>
</file>